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Borders>
          <w:top w:val="single" w:sz="24" w:space="0" w:color="00000A"/>
          <w:bottom w:val="single" w:sz="24" w:space="0" w:color="00000A"/>
          <w:insideH w:val="single" w:sz="24" w:space="0" w:color="00000A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6"/>
        <w:gridCol w:w="3544"/>
        <w:gridCol w:w="3119"/>
      </w:tblGrid>
      <w:tr w:rsidR="00C66504" w:rsidRPr="006D6392">
        <w:trPr>
          <w:cantSplit/>
          <w:trHeight w:val="1399"/>
        </w:trPr>
        <w:tc>
          <w:tcPr>
            <w:tcW w:w="9639" w:type="dxa"/>
            <w:gridSpan w:val="3"/>
            <w:tcBorders>
              <w:top w:val="single" w:sz="24" w:space="0" w:color="00000A"/>
              <w:bottom w:val="single" w:sz="24" w:space="0" w:color="00000A"/>
            </w:tcBorders>
            <w:shd w:val="clear" w:color="auto" w:fill="auto"/>
            <w:vAlign w:val="center"/>
          </w:tcPr>
          <w:p w:rsidR="00C66504" w:rsidRPr="006D6392" w:rsidRDefault="00FB7E98">
            <w:pPr>
              <w:pStyle w:val="FR1"/>
              <w:spacing w:line="360" w:lineRule="auto"/>
              <w:ind w:left="0" w:right="0"/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</w:pPr>
            <w:r w:rsidRPr="006D6392"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  <w:t>Федеральное агентство</w:t>
            </w:r>
          </w:p>
          <w:p w:rsidR="00C66504" w:rsidRPr="006D6392" w:rsidRDefault="00FB7E98">
            <w:pPr>
              <w:pStyle w:val="FR1"/>
              <w:spacing w:line="240" w:lineRule="auto"/>
              <w:ind w:left="0" w:right="0" w:firstLine="0"/>
              <w:rPr>
                <w:b/>
                <w:caps/>
                <w:color w:val="000000" w:themeColor="text1"/>
                <w:sz w:val="20"/>
              </w:rPr>
            </w:pPr>
            <w:r w:rsidRPr="006D6392">
              <w:rPr>
                <w:rFonts w:ascii="Arial" w:hAnsi="Arial" w:cs="Arial"/>
                <w:b/>
                <w:caps/>
                <w:color w:val="000000" w:themeColor="text1"/>
                <w:sz w:val="24"/>
                <w:szCs w:val="24"/>
              </w:rPr>
              <w:t>по техническому регулированию И МЕТРОЛОГИИ</w:t>
            </w:r>
          </w:p>
        </w:tc>
      </w:tr>
      <w:tr w:rsidR="00C66504" w:rsidRPr="006D6392">
        <w:trPr>
          <w:cantSplit/>
          <w:trHeight w:val="2170"/>
        </w:trPr>
        <w:tc>
          <w:tcPr>
            <w:tcW w:w="2976" w:type="dxa"/>
            <w:tcBorders>
              <w:bottom w:val="single" w:sz="8" w:space="0" w:color="00000A"/>
            </w:tcBorders>
            <w:shd w:val="clear" w:color="auto" w:fill="auto"/>
          </w:tcPr>
          <w:p w:rsidR="00C66504" w:rsidRPr="006D6392" w:rsidRDefault="00FB7E98" w:rsidP="00BA4953">
            <w:pPr>
              <w:pStyle w:val="FR1"/>
              <w:spacing w:line="360" w:lineRule="auto"/>
              <w:ind w:left="0" w:right="0" w:firstLine="426"/>
              <w:jc w:val="left"/>
              <w:rPr>
                <w:b/>
                <w:color w:val="000000" w:themeColor="text1"/>
                <w:sz w:val="22"/>
              </w:rPr>
            </w:pPr>
            <w:r w:rsidRPr="006D6392">
              <w:rPr>
                <w:b/>
                <w:color w:val="000000" w:themeColor="text1"/>
                <w:sz w:val="22"/>
              </w:rPr>
              <w:object w:dxaOrig="1490" w:dyaOrig="814">
                <v:shape id="ole_rId2" o:spid="_x0000_i1025" style="width:131.25pt;height:1in" coordsize="" o:spt="100" adj="0,,0" path="" stroked="f">
                  <v:stroke joinstyle="miter"/>
                  <v:imagedata r:id="rId9" o:title=""/>
                  <v:formulas/>
                  <v:path o:connecttype="segments"/>
                </v:shape>
                <o:OLEObject Type="Embed" ProgID="Word.Document.8" ShapeID="ole_rId2" DrawAspect="Content" ObjectID="_1652535923" r:id="rId10"/>
              </w:object>
            </w:r>
          </w:p>
        </w:tc>
        <w:tc>
          <w:tcPr>
            <w:tcW w:w="3544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:rsidR="00C66504" w:rsidRPr="006D6392" w:rsidRDefault="00FB7E98">
            <w:pPr>
              <w:pStyle w:val="FR1"/>
              <w:spacing w:line="240" w:lineRule="auto"/>
              <w:ind w:left="0" w:right="0" w:firstLine="0"/>
              <w:rPr>
                <w:b/>
                <w:color w:val="000000" w:themeColor="text1"/>
                <w:sz w:val="22"/>
                <w:lang w:val="en-GB"/>
              </w:rPr>
            </w:pPr>
            <w:r w:rsidRPr="006D6392">
              <w:rPr>
                <w:rFonts w:ascii="Arial" w:hAnsi="Arial" w:cs="Arial"/>
                <w:b/>
                <w:caps/>
                <w:color w:val="000000" w:themeColor="text1"/>
                <w:spacing w:val="70"/>
                <w:sz w:val="24"/>
              </w:rPr>
              <w:t>национальныЙ СТАНДАРТ РОССИЙСКОЙ ФЕДЕРАЦИИ</w:t>
            </w:r>
          </w:p>
        </w:tc>
        <w:tc>
          <w:tcPr>
            <w:tcW w:w="3119" w:type="dxa"/>
            <w:tcBorders>
              <w:bottom w:val="single" w:sz="8" w:space="0" w:color="00000A"/>
            </w:tcBorders>
            <w:shd w:val="clear" w:color="auto" w:fill="auto"/>
            <w:vAlign w:val="center"/>
          </w:tcPr>
          <w:p w:rsidR="00C66504" w:rsidRPr="006D6392" w:rsidRDefault="00FB7E98" w:rsidP="00BA4953">
            <w:pPr>
              <w:widowControl w:val="0"/>
              <w:rPr>
                <w:color w:val="000000" w:themeColor="text1"/>
              </w:rPr>
            </w:pPr>
            <w:r w:rsidRPr="006D6392">
              <w:rPr>
                <w:rFonts w:ascii="Arial" w:hAnsi="Arial"/>
                <w:b/>
                <w:color w:val="000000" w:themeColor="text1"/>
                <w:sz w:val="40"/>
                <w:szCs w:val="40"/>
              </w:rPr>
              <w:t>ГОСТ Р ИСО</w:t>
            </w:r>
            <w:r w:rsidR="00BA4953" w:rsidRPr="00063991">
              <w:rPr>
                <w:rFonts w:ascii="Arial" w:hAnsi="Arial"/>
                <w:b/>
                <w:color w:val="000000" w:themeColor="text1"/>
                <w:sz w:val="40"/>
                <w:szCs w:val="40"/>
              </w:rPr>
              <w:t>/</w:t>
            </w:r>
            <w:r w:rsidR="00BA4953" w:rsidRPr="006D6392">
              <w:rPr>
                <w:rFonts w:ascii="Arial" w:hAnsi="Arial"/>
                <w:b/>
                <w:color w:val="000000" w:themeColor="text1"/>
                <w:sz w:val="40"/>
                <w:szCs w:val="40"/>
              </w:rPr>
              <w:t>ТС</w:t>
            </w:r>
          </w:p>
          <w:p w:rsidR="00C66504" w:rsidRPr="006D6392" w:rsidRDefault="00BA4953" w:rsidP="00BA4953">
            <w:pPr>
              <w:widowControl w:val="0"/>
              <w:rPr>
                <w:color w:val="000000" w:themeColor="text1"/>
              </w:rPr>
            </w:pPr>
            <w:r w:rsidRPr="00063991">
              <w:rPr>
                <w:rFonts w:ascii="Arial" w:hAnsi="Arial"/>
                <w:b/>
                <w:color w:val="000000" w:themeColor="text1"/>
                <w:sz w:val="40"/>
                <w:szCs w:val="40"/>
              </w:rPr>
              <w:t>16782</w:t>
            </w:r>
            <w:r w:rsidR="00FB7E98" w:rsidRPr="006D6392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–</w:t>
            </w:r>
          </w:p>
          <w:p w:rsidR="00C66504" w:rsidRPr="006D6392" w:rsidRDefault="00FB7E98" w:rsidP="00BA4953">
            <w:pPr>
              <w:widowControl w:val="0"/>
              <w:rPr>
                <w:color w:val="000000" w:themeColor="text1"/>
              </w:rPr>
            </w:pPr>
            <w:r w:rsidRPr="006D6392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20</w:t>
            </w:r>
            <w:r w:rsidR="004A43A4" w:rsidRPr="006D6392">
              <w:rPr>
                <w:rFonts w:ascii="Arial" w:hAnsi="Arial" w:cs="Arial"/>
                <w:b/>
                <w:color w:val="000000" w:themeColor="text1"/>
                <w:sz w:val="40"/>
                <w:szCs w:val="40"/>
              </w:rPr>
              <w:t>ХХ</w:t>
            </w:r>
          </w:p>
          <w:p w:rsidR="00C66504" w:rsidRPr="006D6392" w:rsidRDefault="00FB7E98">
            <w:pPr>
              <w:tabs>
                <w:tab w:val="left" w:pos="709"/>
                <w:tab w:val="center" w:pos="4677"/>
                <w:tab w:val="right" w:pos="9355"/>
              </w:tabs>
              <w:ind w:firstLine="142"/>
              <w:rPr>
                <w:rFonts w:ascii="Arial" w:hAnsi="Arial" w:cs="Arial"/>
                <w:i/>
                <w:color w:val="000000" w:themeColor="text1"/>
              </w:rPr>
            </w:pPr>
            <w:r w:rsidRPr="006D6392">
              <w:rPr>
                <w:rFonts w:ascii="Arial" w:hAnsi="Arial" w:cs="Arial"/>
                <w:i/>
                <w:color w:val="000000" w:themeColor="text1"/>
              </w:rPr>
              <w:t>(проект, 1 редакция)</w:t>
            </w:r>
          </w:p>
        </w:tc>
      </w:tr>
    </w:tbl>
    <w:p w:rsidR="00C66504" w:rsidRPr="006D6392" w:rsidRDefault="00C66504">
      <w:pPr>
        <w:pStyle w:val="FR1"/>
        <w:spacing w:line="240" w:lineRule="auto"/>
        <w:ind w:left="0" w:right="0" w:firstLine="0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C66504" w:rsidRPr="006D6392" w:rsidRDefault="00C66504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</w:p>
    <w:p w:rsidR="00C66504" w:rsidRPr="006D6392" w:rsidRDefault="00C66504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</w:p>
    <w:p w:rsidR="00C66504" w:rsidRPr="006D6392" w:rsidRDefault="00C66504">
      <w:pPr>
        <w:widowControl w:val="0"/>
        <w:jc w:val="center"/>
        <w:rPr>
          <w:rFonts w:ascii="Arial" w:hAnsi="Arial" w:cs="Arial"/>
          <w:b/>
          <w:bCs/>
          <w:color w:val="000000" w:themeColor="text1"/>
        </w:rPr>
      </w:pPr>
    </w:p>
    <w:p w:rsidR="00C66504" w:rsidRPr="006D6392" w:rsidRDefault="00C66504">
      <w:pPr>
        <w:jc w:val="center"/>
        <w:rPr>
          <w:rFonts w:ascii="Arial" w:hAnsi="Arial" w:cs="Arial"/>
          <w:b/>
          <w:color w:val="000000" w:themeColor="text1"/>
        </w:rPr>
      </w:pPr>
    </w:p>
    <w:p w:rsidR="00BA4953" w:rsidRDefault="00BA4953" w:rsidP="00BA4953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  <w:proofErr w:type="spellStart"/>
      <w:r w:rsidRPr="006D6392">
        <w:rPr>
          <w:rFonts w:ascii="Arial" w:hAnsi="Arial" w:cs="Arial"/>
          <w:b/>
          <w:color w:val="000000" w:themeColor="text1"/>
          <w:sz w:val="32"/>
          <w:szCs w:val="32"/>
        </w:rPr>
        <w:t>Клини</w:t>
      </w:r>
      <w:r w:rsidR="00063991">
        <w:rPr>
          <w:rFonts w:ascii="Arial" w:hAnsi="Arial" w:cs="Arial"/>
          <w:b/>
          <w:color w:val="000000" w:themeColor="text1"/>
          <w:sz w:val="32"/>
          <w:szCs w:val="32"/>
        </w:rPr>
        <w:t>ко</w:t>
      </w:r>
      <w:r w:rsidRPr="006D6392">
        <w:rPr>
          <w:rFonts w:ascii="Arial" w:hAnsi="Arial" w:cs="Arial"/>
          <w:b/>
          <w:color w:val="000000" w:themeColor="text1"/>
          <w:sz w:val="32"/>
          <w:szCs w:val="32"/>
        </w:rPr>
        <w:t>лабораторные</w:t>
      </w:r>
      <w:proofErr w:type="spellEnd"/>
      <w:r w:rsidRPr="006D6392">
        <w:rPr>
          <w:rFonts w:ascii="Arial" w:hAnsi="Arial" w:cs="Arial"/>
          <w:b/>
          <w:color w:val="000000" w:themeColor="text1"/>
          <w:sz w:val="32"/>
          <w:szCs w:val="32"/>
        </w:rPr>
        <w:t xml:space="preserve"> исследования </w:t>
      </w:r>
    </w:p>
    <w:p w:rsidR="00063991" w:rsidRPr="006D6392" w:rsidRDefault="00063991" w:rsidP="00BA4953">
      <w:pPr>
        <w:jc w:val="center"/>
        <w:rPr>
          <w:rFonts w:ascii="Arial" w:hAnsi="Arial" w:cs="Arial"/>
          <w:b/>
          <w:color w:val="000000" w:themeColor="text1"/>
          <w:sz w:val="32"/>
          <w:szCs w:val="32"/>
        </w:rPr>
      </w:pPr>
    </w:p>
    <w:p w:rsidR="00C66504" w:rsidRPr="00063991" w:rsidRDefault="00063991">
      <w:pPr>
        <w:jc w:val="center"/>
        <w:rPr>
          <w:rFonts w:ascii="Arial" w:hAnsi="Arial" w:cs="Arial"/>
          <w:b/>
          <w:bCs/>
          <w:color w:val="000000" w:themeColor="text1"/>
          <w:sz w:val="32"/>
          <w:szCs w:val="32"/>
        </w:rPr>
      </w:pPr>
      <w:r w:rsidRPr="00063991">
        <w:rPr>
          <w:rFonts w:ascii="Arial" w:hAnsi="Arial" w:cs="Arial"/>
          <w:b/>
          <w:sz w:val="32"/>
          <w:szCs w:val="32"/>
        </w:rPr>
        <w:t xml:space="preserve">Критерии для приемлемых партий обезвоженного </w:t>
      </w:r>
      <w:proofErr w:type="spellStart"/>
      <w:r w:rsidRPr="00063991">
        <w:rPr>
          <w:rFonts w:ascii="Arial" w:hAnsi="Arial" w:cs="Arial"/>
          <w:b/>
          <w:sz w:val="32"/>
          <w:szCs w:val="32"/>
        </w:rPr>
        <w:t>агара</w:t>
      </w:r>
      <w:proofErr w:type="spellEnd"/>
      <w:r w:rsidRPr="00063991">
        <w:rPr>
          <w:rFonts w:ascii="Arial" w:hAnsi="Arial" w:cs="Arial"/>
          <w:b/>
          <w:sz w:val="32"/>
          <w:szCs w:val="32"/>
        </w:rPr>
        <w:t xml:space="preserve"> </w:t>
      </w:r>
      <w:proofErr w:type="spellStart"/>
      <w:r w:rsidRPr="00063991">
        <w:rPr>
          <w:rFonts w:ascii="Arial" w:hAnsi="Arial" w:cs="Arial"/>
          <w:b/>
          <w:sz w:val="32"/>
          <w:szCs w:val="32"/>
        </w:rPr>
        <w:t>Mueller-Hinton</w:t>
      </w:r>
      <w:proofErr w:type="spellEnd"/>
      <w:r w:rsidRPr="00063991">
        <w:rPr>
          <w:rFonts w:ascii="Arial" w:hAnsi="Arial" w:cs="Arial"/>
          <w:b/>
          <w:sz w:val="32"/>
          <w:szCs w:val="32"/>
        </w:rPr>
        <w:t xml:space="preserve"> и бульона для исследования антимикробной чувствительности</w:t>
      </w:r>
    </w:p>
    <w:p w:rsidR="00C66504" w:rsidRPr="00063991" w:rsidRDefault="00C66504">
      <w:pPr>
        <w:jc w:val="center"/>
        <w:rPr>
          <w:rFonts w:ascii="Arial" w:hAnsi="Arial" w:cs="Arial"/>
          <w:b/>
          <w:bCs/>
          <w:caps/>
          <w:color w:val="000000" w:themeColor="text1"/>
          <w:sz w:val="32"/>
          <w:szCs w:val="32"/>
        </w:rPr>
      </w:pPr>
    </w:p>
    <w:p w:rsidR="00C66504" w:rsidRPr="00063991" w:rsidRDefault="00C66504">
      <w:pPr>
        <w:pStyle w:val="af8"/>
        <w:widowControl w:val="0"/>
        <w:ind w:firstLin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92253" w:rsidRPr="00063991" w:rsidRDefault="00692253">
      <w:pPr>
        <w:pStyle w:val="af8"/>
        <w:widowControl w:val="0"/>
        <w:ind w:firstLin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6E450C" w:rsidRPr="00063991" w:rsidRDefault="006E450C">
      <w:pPr>
        <w:pStyle w:val="af8"/>
        <w:widowControl w:val="0"/>
        <w:ind w:firstLine="0"/>
        <w:jc w:val="center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66504" w:rsidRPr="006D6392" w:rsidRDefault="006E450C" w:rsidP="004A43A4">
      <w:pPr>
        <w:keepNext/>
        <w:keepLines/>
        <w:widowControl w:val="0"/>
        <w:jc w:val="center"/>
        <w:rPr>
          <w:color w:val="000000" w:themeColor="text1"/>
          <w:lang w:val="en-US"/>
        </w:rPr>
      </w:pPr>
      <w:r w:rsidRPr="006D6392">
        <w:rPr>
          <w:rFonts w:ascii="Arial" w:hAnsi="Arial" w:cs="Arial"/>
          <w:b/>
          <w:bCs/>
          <w:color w:val="000000" w:themeColor="text1"/>
          <w:lang w:val="en-US"/>
        </w:rPr>
        <w:t>(ISO</w:t>
      </w:r>
      <w:r w:rsidR="00BA4953" w:rsidRPr="006D6392">
        <w:rPr>
          <w:rFonts w:ascii="Arial" w:hAnsi="Arial" w:cs="Arial"/>
          <w:b/>
          <w:bCs/>
          <w:color w:val="000000" w:themeColor="text1"/>
          <w:lang w:val="en-US"/>
        </w:rPr>
        <w:t>/TS</w:t>
      </w:r>
      <w:r w:rsidRPr="006D6392">
        <w:rPr>
          <w:rFonts w:ascii="Arial" w:hAnsi="Arial" w:cs="Arial"/>
          <w:b/>
          <w:bCs/>
          <w:color w:val="000000" w:themeColor="text1"/>
          <w:lang w:val="en-US"/>
        </w:rPr>
        <w:t xml:space="preserve"> </w:t>
      </w:r>
      <w:r w:rsidR="00BA4953" w:rsidRPr="006D6392">
        <w:rPr>
          <w:rFonts w:ascii="Arial" w:hAnsi="Arial" w:cs="Arial"/>
          <w:b/>
          <w:bCs/>
          <w:color w:val="000000" w:themeColor="text1"/>
          <w:lang w:val="en-US"/>
        </w:rPr>
        <w:t>16782</w:t>
      </w:r>
      <w:r w:rsidRPr="006D6392">
        <w:rPr>
          <w:rFonts w:ascii="Arial" w:hAnsi="Arial" w:cs="Arial"/>
          <w:b/>
          <w:bCs/>
          <w:color w:val="000000" w:themeColor="text1"/>
          <w:lang w:val="en-US"/>
        </w:rPr>
        <w:t>:201</w:t>
      </w:r>
      <w:r w:rsidR="00BA4953" w:rsidRPr="006D6392">
        <w:rPr>
          <w:rFonts w:ascii="Arial" w:hAnsi="Arial" w:cs="Arial"/>
          <w:b/>
          <w:bCs/>
          <w:color w:val="000000" w:themeColor="text1"/>
          <w:lang w:val="en-US"/>
        </w:rPr>
        <w:t>6</w:t>
      </w:r>
      <w:r w:rsidRPr="006D6392">
        <w:rPr>
          <w:rFonts w:ascii="Arial" w:hAnsi="Arial" w:cs="Arial"/>
          <w:b/>
          <w:bCs/>
          <w:color w:val="000000" w:themeColor="text1"/>
          <w:lang w:val="en-US"/>
        </w:rPr>
        <w:t xml:space="preserve">, </w:t>
      </w:r>
      <w:r w:rsidR="00BA4953" w:rsidRPr="006D6392">
        <w:rPr>
          <w:rFonts w:ascii="Arial" w:hAnsi="Arial" w:cs="Arial"/>
          <w:b/>
          <w:bCs/>
          <w:i/>
          <w:color w:val="000000" w:themeColor="text1"/>
          <w:lang w:val="en-GB"/>
        </w:rPr>
        <w:t>Clinical laboratory testing — Criteria</w:t>
      </w:r>
      <w:r w:rsidR="00BA4953" w:rsidRPr="006D6392">
        <w:rPr>
          <w:rFonts w:ascii="Arial" w:hAnsi="Arial" w:cs="Arial"/>
          <w:b/>
          <w:bCs/>
          <w:i/>
          <w:color w:val="000000" w:themeColor="text1"/>
          <w:lang w:val="en-US"/>
        </w:rPr>
        <w:t xml:space="preserve"> </w:t>
      </w:r>
      <w:r w:rsidR="00BA4953" w:rsidRPr="006D6392">
        <w:rPr>
          <w:rFonts w:ascii="Arial" w:hAnsi="Arial" w:cs="Arial"/>
          <w:b/>
          <w:bCs/>
          <w:i/>
          <w:color w:val="000000" w:themeColor="text1"/>
          <w:lang w:val="en-GB"/>
        </w:rPr>
        <w:t>for acceptable lots of dehydrated</w:t>
      </w:r>
      <w:r w:rsidR="00BA4953" w:rsidRPr="006D6392">
        <w:rPr>
          <w:rFonts w:ascii="Arial" w:hAnsi="Arial" w:cs="Arial"/>
          <w:b/>
          <w:bCs/>
          <w:i/>
          <w:color w:val="000000" w:themeColor="text1"/>
          <w:lang w:val="en-US"/>
        </w:rPr>
        <w:t xml:space="preserve"> </w:t>
      </w:r>
      <w:r w:rsidR="00BA4953" w:rsidRPr="006D6392">
        <w:rPr>
          <w:rFonts w:ascii="Arial" w:hAnsi="Arial" w:cs="Arial"/>
          <w:b/>
          <w:bCs/>
          <w:i/>
          <w:color w:val="000000" w:themeColor="text1"/>
          <w:lang w:val="en-GB"/>
        </w:rPr>
        <w:t>Mueller-Hinton agar and broth for</w:t>
      </w:r>
      <w:r w:rsidR="00BA4953" w:rsidRPr="006D6392">
        <w:rPr>
          <w:rFonts w:ascii="Arial" w:hAnsi="Arial" w:cs="Arial"/>
          <w:b/>
          <w:bCs/>
          <w:i/>
          <w:color w:val="000000" w:themeColor="text1"/>
          <w:lang w:val="en-US"/>
        </w:rPr>
        <w:t xml:space="preserve"> </w:t>
      </w:r>
      <w:r w:rsidR="00BA4953" w:rsidRPr="006D6392">
        <w:rPr>
          <w:rFonts w:ascii="Arial" w:hAnsi="Arial" w:cs="Arial"/>
          <w:b/>
          <w:bCs/>
          <w:i/>
          <w:color w:val="000000" w:themeColor="text1"/>
          <w:lang w:val="en-GB"/>
        </w:rPr>
        <w:t>antimicrobial susceptibility testing</w:t>
      </w:r>
      <w:r w:rsidRPr="006D6392">
        <w:rPr>
          <w:rFonts w:ascii="Arial" w:hAnsi="Arial" w:cs="Arial"/>
          <w:b/>
          <w:bCs/>
          <w:color w:val="000000" w:themeColor="text1"/>
          <w:lang w:val="en-US"/>
        </w:rPr>
        <w:t xml:space="preserve">, </w:t>
      </w:r>
      <w:r w:rsidR="00FB7E98" w:rsidRPr="006D6392">
        <w:rPr>
          <w:rFonts w:ascii="Arial" w:hAnsi="Arial" w:cs="Arial"/>
          <w:b/>
          <w:color w:val="000000" w:themeColor="text1"/>
          <w:lang w:val="en-US"/>
        </w:rPr>
        <w:t>IDT)</w:t>
      </w:r>
    </w:p>
    <w:p w:rsidR="00C66504" w:rsidRPr="006D6392" w:rsidRDefault="00C66504">
      <w:pPr>
        <w:pStyle w:val="FR1"/>
        <w:spacing w:line="360" w:lineRule="auto"/>
        <w:ind w:left="0" w:right="0" w:firstLine="0"/>
        <w:rPr>
          <w:b/>
          <w:color w:val="000000" w:themeColor="text1"/>
          <w:sz w:val="24"/>
          <w:szCs w:val="24"/>
          <w:lang w:val="en-US"/>
        </w:rPr>
      </w:pPr>
    </w:p>
    <w:p w:rsidR="00C66504" w:rsidRPr="006D6392" w:rsidRDefault="00C66504">
      <w:pPr>
        <w:pStyle w:val="FR1"/>
        <w:spacing w:line="360" w:lineRule="auto"/>
        <w:ind w:left="0" w:right="0" w:firstLine="0"/>
        <w:rPr>
          <w:b/>
          <w:color w:val="000000" w:themeColor="text1"/>
          <w:sz w:val="24"/>
          <w:szCs w:val="24"/>
          <w:lang w:val="en-US"/>
        </w:rPr>
      </w:pPr>
    </w:p>
    <w:p w:rsidR="00C66504" w:rsidRPr="006D6392" w:rsidRDefault="00C66504">
      <w:pPr>
        <w:pStyle w:val="FR1"/>
        <w:spacing w:line="360" w:lineRule="auto"/>
        <w:ind w:left="0" w:right="0" w:firstLine="0"/>
        <w:rPr>
          <w:b/>
          <w:color w:val="000000" w:themeColor="text1"/>
          <w:sz w:val="24"/>
          <w:szCs w:val="24"/>
          <w:lang w:val="en-US"/>
        </w:rPr>
      </w:pPr>
    </w:p>
    <w:p w:rsidR="00692253" w:rsidRPr="006D6392" w:rsidRDefault="00692253">
      <w:pPr>
        <w:pStyle w:val="FR1"/>
        <w:spacing w:line="360" w:lineRule="auto"/>
        <w:ind w:left="0" w:right="0" w:firstLine="0"/>
        <w:rPr>
          <w:b/>
          <w:color w:val="000000" w:themeColor="text1"/>
          <w:sz w:val="24"/>
          <w:szCs w:val="24"/>
          <w:lang w:val="en-US"/>
        </w:rPr>
      </w:pPr>
    </w:p>
    <w:p w:rsidR="00C66504" w:rsidRPr="006D6392" w:rsidRDefault="00C66504">
      <w:pPr>
        <w:pStyle w:val="FR1"/>
        <w:spacing w:line="360" w:lineRule="auto"/>
        <w:ind w:left="0" w:right="0" w:firstLine="0"/>
        <w:rPr>
          <w:b/>
          <w:color w:val="000000" w:themeColor="text1"/>
          <w:sz w:val="24"/>
          <w:szCs w:val="24"/>
          <w:lang w:val="en-US"/>
        </w:rPr>
      </w:pPr>
    </w:p>
    <w:p w:rsidR="00C66504" w:rsidRPr="006D6392" w:rsidRDefault="00FB7E98">
      <w:pPr>
        <w:pStyle w:val="FR1"/>
        <w:keepLines/>
        <w:spacing w:line="240" w:lineRule="auto"/>
        <w:ind w:left="0" w:right="0" w:firstLine="0"/>
        <w:rPr>
          <w:color w:val="000000" w:themeColor="text1"/>
          <w:sz w:val="20"/>
        </w:rPr>
      </w:pPr>
      <w:r w:rsidRPr="006D6392">
        <w:rPr>
          <w:rFonts w:ascii="Arial" w:hAnsi="Arial" w:cs="Arial"/>
          <w:bCs/>
          <w:i/>
          <w:color w:val="000000" w:themeColor="text1"/>
          <w:sz w:val="22"/>
          <w:szCs w:val="22"/>
        </w:rPr>
        <w:t>Настоящий проект стандарта не подлежит применению до его принятия</w:t>
      </w:r>
    </w:p>
    <w:p w:rsidR="00C66504" w:rsidRPr="006D6392" w:rsidRDefault="00C66504">
      <w:pPr>
        <w:pStyle w:val="FR1"/>
        <w:keepLines/>
        <w:spacing w:line="240" w:lineRule="auto"/>
        <w:ind w:left="0" w:right="0" w:firstLine="0"/>
        <w:rPr>
          <w:b/>
          <w:color w:val="000000" w:themeColor="text1"/>
          <w:sz w:val="20"/>
        </w:rPr>
      </w:pPr>
    </w:p>
    <w:p w:rsidR="00C66504" w:rsidRPr="006D6392" w:rsidRDefault="00C66504">
      <w:pPr>
        <w:pStyle w:val="FR1"/>
        <w:keepLines/>
        <w:spacing w:line="240" w:lineRule="auto"/>
        <w:ind w:left="0" w:right="0" w:firstLine="0"/>
        <w:rPr>
          <w:b/>
          <w:color w:val="000000" w:themeColor="text1"/>
          <w:sz w:val="20"/>
        </w:rPr>
      </w:pPr>
    </w:p>
    <w:p w:rsidR="00C66504" w:rsidRPr="006D6392" w:rsidRDefault="00C66504">
      <w:pPr>
        <w:pStyle w:val="FR1"/>
        <w:keepLines/>
        <w:spacing w:line="240" w:lineRule="auto"/>
        <w:ind w:left="0" w:right="0" w:firstLine="0"/>
        <w:rPr>
          <w:b/>
          <w:color w:val="000000" w:themeColor="text1"/>
          <w:sz w:val="20"/>
        </w:rPr>
      </w:pPr>
    </w:p>
    <w:p w:rsidR="00C66504" w:rsidRPr="006D6392" w:rsidRDefault="00C66504">
      <w:pPr>
        <w:pStyle w:val="FR1"/>
        <w:keepLines/>
        <w:spacing w:line="240" w:lineRule="auto"/>
        <w:ind w:left="0" w:right="0" w:firstLine="0"/>
        <w:rPr>
          <w:b/>
          <w:color w:val="000000" w:themeColor="text1"/>
          <w:sz w:val="20"/>
        </w:rPr>
      </w:pPr>
    </w:p>
    <w:p w:rsidR="00C66504" w:rsidRPr="006D6392" w:rsidRDefault="00C66504">
      <w:pPr>
        <w:pStyle w:val="FR1"/>
        <w:keepLines/>
        <w:spacing w:line="240" w:lineRule="auto"/>
        <w:ind w:left="0" w:right="0" w:firstLine="0"/>
        <w:rPr>
          <w:b/>
          <w:color w:val="000000" w:themeColor="text1"/>
          <w:sz w:val="20"/>
        </w:rPr>
      </w:pPr>
    </w:p>
    <w:p w:rsidR="004327EA" w:rsidRPr="006D6392" w:rsidRDefault="004327EA">
      <w:pPr>
        <w:pStyle w:val="FR1"/>
        <w:keepLines/>
        <w:spacing w:line="240" w:lineRule="auto"/>
        <w:ind w:left="0" w:right="0" w:firstLine="0"/>
        <w:rPr>
          <w:b/>
          <w:color w:val="000000" w:themeColor="text1"/>
          <w:sz w:val="20"/>
        </w:rPr>
      </w:pPr>
    </w:p>
    <w:p w:rsidR="004327EA" w:rsidRPr="006D6392" w:rsidRDefault="004327EA">
      <w:pPr>
        <w:pStyle w:val="FR1"/>
        <w:keepLines/>
        <w:spacing w:line="240" w:lineRule="auto"/>
        <w:ind w:left="0" w:right="0" w:firstLine="0"/>
        <w:rPr>
          <w:b/>
          <w:color w:val="000000" w:themeColor="text1"/>
          <w:sz w:val="20"/>
        </w:rPr>
      </w:pPr>
    </w:p>
    <w:p w:rsidR="004327EA" w:rsidRPr="006D6392" w:rsidRDefault="004327EA">
      <w:pPr>
        <w:pStyle w:val="FR1"/>
        <w:keepLines/>
        <w:spacing w:line="240" w:lineRule="auto"/>
        <w:ind w:left="0" w:right="0" w:firstLine="0"/>
        <w:rPr>
          <w:b/>
          <w:color w:val="000000" w:themeColor="text1"/>
          <w:sz w:val="20"/>
        </w:rPr>
      </w:pPr>
    </w:p>
    <w:p w:rsidR="004327EA" w:rsidRPr="006D6392" w:rsidRDefault="004327EA">
      <w:pPr>
        <w:pStyle w:val="FR1"/>
        <w:keepLines/>
        <w:spacing w:line="240" w:lineRule="auto"/>
        <w:ind w:left="0" w:right="0" w:firstLine="0"/>
        <w:rPr>
          <w:b/>
          <w:color w:val="000000" w:themeColor="text1"/>
          <w:sz w:val="20"/>
        </w:rPr>
      </w:pPr>
    </w:p>
    <w:p w:rsidR="00C66504" w:rsidRPr="006D6392" w:rsidRDefault="00C66504">
      <w:pPr>
        <w:pStyle w:val="FR1"/>
        <w:keepLines/>
        <w:spacing w:line="240" w:lineRule="auto"/>
        <w:ind w:left="0" w:right="0" w:firstLine="0"/>
        <w:rPr>
          <w:b/>
          <w:color w:val="000000" w:themeColor="text1"/>
          <w:sz w:val="20"/>
        </w:rPr>
      </w:pPr>
    </w:p>
    <w:p w:rsidR="00C66504" w:rsidRPr="006D6392" w:rsidRDefault="00C66504">
      <w:pPr>
        <w:pStyle w:val="FR1"/>
        <w:keepLines/>
        <w:spacing w:line="240" w:lineRule="auto"/>
        <w:ind w:left="0" w:right="0" w:firstLine="0"/>
        <w:rPr>
          <w:b/>
          <w:color w:val="000000" w:themeColor="text1"/>
          <w:sz w:val="20"/>
        </w:rPr>
      </w:pPr>
    </w:p>
    <w:p w:rsidR="00C66504" w:rsidRPr="006D6392" w:rsidRDefault="00C66504">
      <w:pPr>
        <w:pStyle w:val="FR1"/>
        <w:keepLines/>
        <w:spacing w:line="240" w:lineRule="auto"/>
        <w:ind w:left="0" w:right="0" w:firstLine="0"/>
        <w:rPr>
          <w:b/>
          <w:color w:val="000000" w:themeColor="text1"/>
          <w:sz w:val="20"/>
        </w:rPr>
      </w:pPr>
    </w:p>
    <w:p w:rsidR="00C66504" w:rsidRPr="006D6392" w:rsidRDefault="00FB7E98">
      <w:pPr>
        <w:pStyle w:val="FR1"/>
        <w:keepLines/>
        <w:spacing w:line="240" w:lineRule="auto"/>
        <w:ind w:left="0" w:right="0" w:firstLine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6D6392">
        <w:rPr>
          <w:rFonts w:ascii="Arial" w:hAnsi="Arial" w:cs="Arial"/>
          <w:b/>
          <w:color w:val="000000" w:themeColor="text1"/>
          <w:sz w:val="22"/>
          <w:szCs w:val="22"/>
        </w:rPr>
        <w:t>Москва</w:t>
      </w:r>
    </w:p>
    <w:p w:rsidR="00C66504" w:rsidRPr="006D6392" w:rsidRDefault="00FB7E98">
      <w:pPr>
        <w:pStyle w:val="FR1"/>
        <w:keepLines/>
        <w:spacing w:line="240" w:lineRule="auto"/>
        <w:ind w:left="0" w:right="0" w:firstLine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6D6392">
        <w:rPr>
          <w:rFonts w:ascii="Arial" w:hAnsi="Arial" w:cs="Arial"/>
          <w:b/>
          <w:color w:val="000000" w:themeColor="text1"/>
          <w:sz w:val="22"/>
          <w:szCs w:val="22"/>
        </w:rPr>
        <w:t>Стандартинформ</w:t>
      </w:r>
      <w:proofErr w:type="spellEnd"/>
    </w:p>
    <w:p w:rsidR="00C66504" w:rsidRPr="006D6392" w:rsidRDefault="00FB7E98">
      <w:pPr>
        <w:pStyle w:val="FR1"/>
        <w:keepLines/>
        <w:spacing w:line="360" w:lineRule="auto"/>
        <w:ind w:left="0" w:right="0" w:firstLine="0"/>
        <w:rPr>
          <w:rStyle w:val="extended-textfull"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  <w:sz w:val="22"/>
          <w:szCs w:val="22"/>
        </w:rPr>
        <w:t>2020</w:t>
      </w:r>
      <w:r w:rsidRPr="006D6392">
        <w:rPr>
          <w:color w:val="000000" w:themeColor="text1"/>
        </w:rPr>
        <w:br w:type="page"/>
      </w:r>
    </w:p>
    <w:p w:rsidR="00C66504" w:rsidRPr="006D6392" w:rsidRDefault="00FB7E98" w:rsidP="00554DA3">
      <w:pPr>
        <w:pStyle w:val="af1"/>
        <w:spacing w:after="240"/>
        <w:jc w:val="center"/>
        <w:rPr>
          <w:rFonts w:ascii="Arial" w:hAnsi="Arial" w:cs="Arial"/>
          <w:b/>
          <w:color w:val="000000" w:themeColor="text1"/>
        </w:rPr>
      </w:pPr>
      <w:bookmarkStart w:id="0" w:name="_Toc487108436"/>
      <w:bookmarkStart w:id="1" w:name="_Toc309995717"/>
      <w:bookmarkStart w:id="2" w:name="_Toc487115990"/>
      <w:bookmarkStart w:id="3" w:name="_Toc488137992"/>
      <w:bookmarkEnd w:id="0"/>
      <w:bookmarkEnd w:id="1"/>
      <w:bookmarkEnd w:id="2"/>
      <w:bookmarkEnd w:id="3"/>
      <w:r w:rsidRPr="006D6392">
        <w:rPr>
          <w:rFonts w:ascii="Arial" w:hAnsi="Arial" w:cs="Arial"/>
          <w:b/>
          <w:color w:val="000000" w:themeColor="text1"/>
        </w:rPr>
        <w:lastRenderedPageBreak/>
        <w:t>Предисловие</w:t>
      </w:r>
    </w:p>
    <w:p w:rsidR="00C66504" w:rsidRPr="006D6392" w:rsidRDefault="00FB7E98">
      <w:pPr>
        <w:widowControl w:val="0"/>
        <w:numPr>
          <w:ilvl w:val="0"/>
          <w:numId w:val="1"/>
        </w:numPr>
        <w:tabs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ПОДГОТОВЛЕН </w:t>
      </w:r>
      <w:r w:rsidR="00AE39FF"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Ассоциаци</w:t>
      </w:r>
      <w:r w:rsidR="00E20E51"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ей</w:t>
      </w:r>
      <w:r w:rsidR="00AE39FF"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специалистов и организаций лабораторной службы «Федерация лабораторной медицины» (Ассоциация «ФЛМ»),</w:t>
      </w:r>
      <w:r w:rsidR="00AE39FF" w:rsidRPr="006D6392">
        <w:rPr>
          <w:i/>
          <w:iCs/>
          <w:color w:val="000000" w:themeColor="text1"/>
        </w:rPr>
        <w:t xml:space="preserve"> </w:t>
      </w:r>
      <w:r w:rsidRPr="006D6392">
        <w:rPr>
          <w:rFonts w:ascii="Arial" w:hAnsi="Arial" w:cs="Arial"/>
          <w:color w:val="000000" w:themeColor="text1"/>
          <w:sz w:val="22"/>
          <w:szCs w:val="22"/>
        </w:rPr>
        <w:t>на основе собственного перевода на русский язык англоязычной версии стандарта, указанного в пункте 4</w:t>
      </w:r>
    </w:p>
    <w:p w:rsidR="00C66504" w:rsidRPr="006D6392" w:rsidRDefault="00FB7E98">
      <w:pPr>
        <w:widowControl w:val="0"/>
        <w:numPr>
          <w:ilvl w:val="0"/>
          <w:numId w:val="1"/>
        </w:numPr>
        <w:tabs>
          <w:tab w:val="left" w:pos="0"/>
          <w:tab w:val="left" w:pos="480"/>
          <w:tab w:val="left" w:pos="928"/>
        </w:tabs>
        <w:spacing w:line="312" w:lineRule="auto"/>
        <w:ind w:firstLine="567"/>
        <w:jc w:val="both"/>
        <w:rPr>
          <w:color w:val="000000" w:themeColor="text1"/>
        </w:rPr>
      </w:pPr>
      <w:proofErr w:type="gramStart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ВНЕСЕН</w:t>
      </w:r>
      <w:proofErr w:type="gramEnd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Техническим комитетом</w:t>
      </w:r>
      <w:r w:rsidRPr="006D6392">
        <w:rPr>
          <w:rFonts w:ascii="Arial" w:eastAsia="Calibri" w:hAnsi="Arial" w:cs="Arial"/>
          <w:caps/>
          <w:color w:val="000000" w:themeColor="text1"/>
          <w:sz w:val="22"/>
          <w:szCs w:val="22"/>
          <w:lang w:eastAsia="en-US"/>
        </w:rPr>
        <w:t xml:space="preserve"> </w:t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по стандартизации ТК 380</w:t>
      </w:r>
      <w:r w:rsidR="00EF2DC5"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</w:t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«</w:t>
      </w:r>
      <w:r w:rsidR="00EF2DC5"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Клинические лабораторные исследования и диагностические тест-системы ин </w:t>
      </w:r>
      <w:proofErr w:type="spellStart"/>
      <w:r w:rsidR="00EF2DC5"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витро</w:t>
      </w:r>
      <w:proofErr w:type="spellEnd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»</w:t>
      </w:r>
    </w:p>
    <w:p w:rsidR="00C66504" w:rsidRPr="006D6392" w:rsidRDefault="00FB7E98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proofErr w:type="gramStart"/>
      <w:r w:rsidRPr="006D6392">
        <w:rPr>
          <w:rFonts w:ascii="Arial" w:eastAsia="Calibri" w:hAnsi="Arial" w:cs="Arial"/>
          <w:caps/>
          <w:color w:val="000000" w:themeColor="text1"/>
          <w:sz w:val="22"/>
          <w:szCs w:val="22"/>
          <w:lang w:eastAsia="en-US"/>
        </w:rPr>
        <w:t>Утвержден</w:t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И ВВЕДЕН</w:t>
      </w:r>
      <w:proofErr w:type="gramEnd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В ДЕЙСТВИЕ Приказом Федерального агентства по техническому регулированию и метрологии от </w:t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ab/>
        <w:t xml:space="preserve">  </w:t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ab/>
        <w:t xml:space="preserve">    </w:t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ab/>
        <w:t xml:space="preserve">  20   г. № </w:t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ab/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ab/>
      </w:r>
    </w:p>
    <w:p w:rsidR="00C66504" w:rsidRPr="006D6392" w:rsidRDefault="00FB7E98" w:rsidP="00BA4953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Настоящий стандарт идентичен международному стандарту ИСО</w:t>
      </w:r>
      <w:r w:rsidR="00BA4953"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/ТС</w:t>
      </w:r>
      <w:r w:rsidRPr="006D6392">
        <w:rPr>
          <w:rFonts w:ascii="Arial" w:eastAsia="Calibri" w:hAnsi="Arial" w:cs="Arial"/>
          <w:caps/>
          <w:color w:val="000000" w:themeColor="text1"/>
          <w:sz w:val="22"/>
          <w:szCs w:val="22"/>
          <w:lang w:eastAsia="en-US"/>
        </w:rPr>
        <w:t xml:space="preserve"> </w:t>
      </w:r>
      <w:r w:rsidR="00BA4953" w:rsidRPr="006D6392">
        <w:rPr>
          <w:rFonts w:ascii="Arial" w:eastAsia="Calibri" w:hAnsi="Arial" w:cs="Arial"/>
          <w:caps/>
          <w:color w:val="000000" w:themeColor="text1"/>
          <w:sz w:val="22"/>
          <w:szCs w:val="22"/>
          <w:lang w:eastAsia="en-US"/>
        </w:rPr>
        <w:t>16782</w:t>
      </w:r>
      <w:r w:rsidR="004A43A4" w:rsidRPr="006D6392">
        <w:rPr>
          <w:rFonts w:ascii="Arial" w:eastAsia="Calibri" w:hAnsi="Arial" w:cs="Arial"/>
          <w:caps/>
          <w:color w:val="000000" w:themeColor="text1"/>
          <w:sz w:val="22"/>
          <w:szCs w:val="22"/>
          <w:lang w:eastAsia="en-US"/>
        </w:rPr>
        <w:t>:201</w:t>
      </w:r>
      <w:r w:rsidR="006240B3">
        <w:rPr>
          <w:rFonts w:ascii="Arial" w:eastAsia="Calibri" w:hAnsi="Arial" w:cs="Arial"/>
          <w:caps/>
          <w:color w:val="000000" w:themeColor="text1"/>
          <w:sz w:val="22"/>
          <w:szCs w:val="22"/>
          <w:lang w:eastAsia="en-US"/>
        </w:rPr>
        <w:t>6</w:t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«</w:t>
      </w:r>
      <w:r w:rsidR="00BA4953"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Клинические лабораторные исследования -  Критерии для оценки приемлемости партий </w:t>
      </w:r>
      <w:proofErr w:type="spellStart"/>
      <w:r w:rsidR="00BA4953"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дегидратированных</w:t>
      </w:r>
      <w:proofErr w:type="spellEnd"/>
      <w:r w:rsidR="00BA4953"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</w:t>
      </w:r>
      <w:proofErr w:type="spellStart"/>
      <w:r w:rsidR="00BA4953"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агара</w:t>
      </w:r>
      <w:proofErr w:type="spellEnd"/>
      <w:r w:rsidR="00BA4953"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и бульона </w:t>
      </w:r>
      <w:proofErr w:type="spellStart"/>
      <w:r w:rsidR="00063991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Mueller-Hinton</w:t>
      </w:r>
      <w:proofErr w:type="spellEnd"/>
      <w:r w:rsidR="00BA4953"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для оценки антимикробной чувствительности</w:t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» (</w:t>
      </w:r>
      <w:r w:rsidRPr="006D6392">
        <w:rPr>
          <w:rFonts w:ascii="Arial" w:hAnsi="Arial" w:cs="Arial"/>
          <w:color w:val="000000" w:themeColor="text1"/>
          <w:sz w:val="22"/>
          <w:szCs w:val="22"/>
          <w:lang w:val="en-US"/>
        </w:rPr>
        <w:t>ISO</w:t>
      </w:r>
      <w:r w:rsidR="00BA4953" w:rsidRPr="006D6392">
        <w:rPr>
          <w:rFonts w:ascii="Arial" w:hAnsi="Arial" w:cs="Arial"/>
          <w:color w:val="000000" w:themeColor="text1"/>
          <w:sz w:val="22"/>
          <w:szCs w:val="22"/>
        </w:rPr>
        <w:t>/</w:t>
      </w:r>
      <w:r w:rsidR="00BA4953" w:rsidRPr="006D6392">
        <w:rPr>
          <w:rFonts w:ascii="Arial" w:hAnsi="Arial" w:cs="Arial"/>
          <w:color w:val="000000" w:themeColor="text1"/>
          <w:sz w:val="22"/>
          <w:szCs w:val="22"/>
          <w:lang w:val="en-US"/>
        </w:rPr>
        <w:t>TS</w:t>
      </w:r>
      <w:r w:rsidRPr="006D639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A4953" w:rsidRPr="006D6392">
        <w:rPr>
          <w:rFonts w:ascii="Arial" w:hAnsi="Arial" w:cs="Arial"/>
          <w:color w:val="000000" w:themeColor="text1"/>
          <w:sz w:val="22"/>
          <w:szCs w:val="22"/>
        </w:rPr>
        <w:t>16782</w:t>
      </w:r>
      <w:r w:rsidRPr="006D6392">
        <w:rPr>
          <w:rFonts w:ascii="Arial" w:hAnsi="Arial" w:cs="Arial"/>
          <w:color w:val="000000" w:themeColor="text1"/>
          <w:sz w:val="22"/>
          <w:szCs w:val="22"/>
        </w:rPr>
        <w:t>:201</w:t>
      </w:r>
      <w:r w:rsidR="006240B3">
        <w:rPr>
          <w:rFonts w:ascii="Arial" w:hAnsi="Arial" w:cs="Arial"/>
          <w:color w:val="000000" w:themeColor="text1"/>
          <w:sz w:val="22"/>
          <w:szCs w:val="22"/>
        </w:rPr>
        <w:t>6</w:t>
      </w:r>
      <w:r w:rsidRPr="006D6392">
        <w:rPr>
          <w:rFonts w:ascii="Arial" w:hAnsi="Arial" w:cs="Arial"/>
          <w:color w:val="000000" w:themeColor="text1"/>
          <w:sz w:val="22"/>
          <w:szCs w:val="22"/>
        </w:rPr>
        <w:t xml:space="preserve"> «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Clinical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 xml:space="preserve"> 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laboratory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 xml:space="preserve"> 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testing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 xml:space="preserve"> — 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Criteria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 xml:space="preserve"> 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for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 xml:space="preserve"> 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acceptable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 xml:space="preserve"> 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lots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 xml:space="preserve"> 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of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 xml:space="preserve"> 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dehydrated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 xml:space="preserve"> 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Mueller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>-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Hinton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 xml:space="preserve"> 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agar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 xml:space="preserve"> 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and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 xml:space="preserve"> 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broth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 xml:space="preserve"> 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for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 xml:space="preserve"> 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antimicrobial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 xml:space="preserve"> 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susceptibility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eastAsia="en-US"/>
        </w:rPr>
        <w:t xml:space="preserve"> </w:t>
      </w:r>
      <w:r w:rsidR="00BA4953" w:rsidRPr="006D6392">
        <w:rPr>
          <w:rFonts w:ascii="Arial" w:eastAsia="Calibri" w:hAnsi="Arial" w:cs="Arial"/>
          <w:bCs/>
          <w:i/>
          <w:color w:val="000000" w:themeColor="text1"/>
          <w:sz w:val="22"/>
          <w:szCs w:val="22"/>
          <w:lang w:val="en-GB" w:eastAsia="en-US"/>
        </w:rPr>
        <w:t>testing</w:t>
      </w:r>
      <w:r w:rsidRPr="006D6392">
        <w:rPr>
          <w:rFonts w:ascii="Arial" w:hAnsi="Arial" w:cs="Arial"/>
          <w:color w:val="000000" w:themeColor="text1"/>
          <w:sz w:val="22"/>
          <w:szCs w:val="22"/>
        </w:rPr>
        <w:t>»</w:t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, </w:t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>IDT</w:t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).</w:t>
      </w:r>
    </w:p>
    <w:p w:rsidR="00C66504" w:rsidRPr="006D6392" w:rsidRDefault="00FB7E98">
      <w:pPr>
        <w:widowControl w:val="0"/>
        <w:tabs>
          <w:tab w:val="left" w:pos="360"/>
        </w:tabs>
        <w:spacing w:line="312" w:lineRule="auto"/>
        <w:ind w:firstLine="567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Международный стандарт разработан Техническим комитетом ISO/TC </w:t>
      </w:r>
      <w:r w:rsidR="004A43A4"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212</w:t>
      </w:r>
    </w:p>
    <w:p w:rsidR="00734769" w:rsidRPr="006D6392" w:rsidRDefault="00734769" w:rsidP="00734769">
      <w:pPr>
        <w:widowControl w:val="0"/>
        <w:tabs>
          <w:tab w:val="left" w:pos="360"/>
        </w:tabs>
        <w:spacing w:line="312" w:lineRule="auto"/>
        <w:ind w:firstLine="56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D6392">
        <w:rPr>
          <w:rFonts w:ascii="Arial" w:hAnsi="Arial" w:cs="Arial"/>
          <w:color w:val="000000" w:themeColor="text1"/>
          <w:sz w:val="22"/>
          <w:szCs w:val="22"/>
        </w:rPr>
        <w:t>При применении настоящего стандарта рекомендуется использовать вместо ссылочных международных стандартов соответствующие им национальные стандарты, сведения о которых приведены в дополнительном приложении ДА</w:t>
      </w:r>
    </w:p>
    <w:p w:rsidR="00C66504" w:rsidRPr="006D6392" w:rsidRDefault="002510CF" w:rsidP="002510CF">
      <w:pPr>
        <w:widowControl w:val="0"/>
        <w:tabs>
          <w:tab w:val="left" w:pos="360"/>
          <w:tab w:val="left" w:pos="2966"/>
        </w:tabs>
        <w:spacing w:line="312" w:lineRule="auto"/>
        <w:ind w:firstLine="567"/>
        <w:jc w:val="both"/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</w:pPr>
      <w:r w:rsidRPr="006D6392">
        <w:rPr>
          <w:rFonts w:ascii="Arial" w:eastAsia="Calibri" w:hAnsi="Arial" w:cs="Arial"/>
          <w:i/>
          <w:color w:val="000000" w:themeColor="text1"/>
          <w:sz w:val="22"/>
          <w:szCs w:val="22"/>
          <w:lang w:eastAsia="en-US"/>
        </w:rPr>
        <w:tab/>
      </w:r>
    </w:p>
    <w:p w:rsidR="00C66504" w:rsidRPr="006D6392" w:rsidRDefault="00FB7E98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6D6392">
        <w:rPr>
          <w:rFonts w:ascii="Arial" w:hAnsi="Arial" w:cs="Arial"/>
          <w:caps/>
          <w:color w:val="000000" w:themeColor="text1"/>
          <w:sz w:val="22"/>
          <w:szCs w:val="22"/>
        </w:rPr>
        <w:t>ВВеден впервые</w:t>
      </w:r>
    </w:p>
    <w:p w:rsidR="002510CF" w:rsidRPr="006D6392" w:rsidRDefault="002510CF" w:rsidP="002510CF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Международная организация по стандартизации (ISO) представляет собой всемирную федерацию, состоящую из национальных органов по стандартизации (комитеты-члены ISO). Работа по разработке международных стандартов обычно ведется техническими комитетами ISO. Каждый комитет-член, заинтересованный в теме, для решения которой образован данный технический комитет, имеет право быть представленным в этом комитете. Международные организации, правительственные и неправительственные, поддерживающие связь с ISO, также принимают участие в работе. ISO тесно сотрудничает с Международной электротехнической комиссией (IEC) по всем вопросам стандартизации в области электротехники.</w:t>
      </w:r>
    </w:p>
    <w:p w:rsidR="002510CF" w:rsidRPr="006D6392" w:rsidRDefault="002510CF" w:rsidP="002510CF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Процедуры, использованные для разработки данного документа, и процедуры его дальнейшей актуализации описаны в Директивах ISO/IEC </w:t>
      </w:r>
      <w:proofErr w:type="spellStart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Directives</w:t>
      </w:r>
      <w:proofErr w:type="spellEnd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, Часть 1.  В частности, следует отметить различные критерии утверждения, необходимые для различных типов документов ISO.  Настоящий документ был разработан в соответствии с редакционными правилами Директив ISO/IEC </w:t>
      </w:r>
      <w:proofErr w:type="spellStart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Directives</w:t>
      </w:r>
      <w:proofErr w:type="spellEnd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, Часть 2.  </w:t>
      </w:r>
      <w:hyperlink r:id="rId11" w:history="1">
        <w:r w:rsidRPr="006D6392">
          <w:rPr>
            <w:rFonts w:ascii="Arial" w:eastAsia="Calibri" w:hAnsi="Arial"/>
            <w:color w:val="000000" w:themeColor="text1"/>
            <w:sz w:val="22"/>
            <w:szCs w:val="22"/>
            <w:lang w:eastAsia="en-US"/>
          </w:rPr>
          <w:t>www.iso.org/directives</w:t>
        </w:r>
      </w:hyperlink>
    </w:p>
    <w:p w:rsidR="002510CF" w:rsidRPr="006D6392" w:rsidRDefault="002510CF" w:rsidP="002510CF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Следует обратить внимание на тот факт, что отдельные элементы данного документа могут являться объектами патентного права. ISO не несет ответственность за идентификацию любых или всех подобных патентных прав.  Сведения </w:t>
      </w:r>
      <w:proofErr w:type="gramStart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о</w:t>
      </w:r>
      <w:proofErr w:type="gramEnd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всех патентных правах, идентифицированных при разработке данного документа, содержатся в разделе Введение и /или в перечне ISO полученных патентных деклараций.  </w:t>
      </w:r>
      <w:hyperlink r:id="rId12" w:history="1">
        <w:r w:rsidRPr="006D6392">
          <w:rPr>
            <w:rFonts w:ascii="Arial" w:eastAsia="Calibri" w:hAnsi="Arial"/>
            <w:color w:val="000000" w:themeColor="text1"/>
            <w:sz w:val="22"/>
            <w:szCs w:val="22"/>
            <w:lang w:eastAsia="en-US"/>
          </w:rPr>
          <w:t>www.iso.org/patents</w:t>
        </w:r>
      </w:hyperlink>
    </w:p>
    <w:p w:rsidR="002510CF" w:rsidRPr="006D6392" w:rsidRDefault="002510CF" w:rsidP="002510CF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Любой торговый знак, использованный в данном документе, является информацией, приводимой для удобства пользователей, и не является свидетельством в пользу того или иного товара.</w:t>
      </w:r>
    </w:p>
    <w:p w:rsidR="002510CF" w:rsidRPr="006D6392" w:rsidRDefault="002510CF" w:rsidP="002510CF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Объяснение смысла специфических терминов и выражений ISO, относящихся к оценке соответствия, а также информацию о приверженности ISO принципам ВТО в Технических барьерах в торговле (TBT) см. По следующему URL: </w:t>
      </w:r>
      <w:proofErr w:type="spellStart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Foreword</w:t>
      </w:r>
      <w:proofErr w:type="spellEnd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- </w:t>
      </w:r>
      <w:proofErr w:type="spellStart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Supplementary</w:t>
      </w:r>
      <w:proofErr w:type="spellEnd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</w:t>
      </w:r>
      <w:proofErr w:type="spellStart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information</w:t>
      </w:r>
      <w:proofErr w:type="spellEnd"/>
    </w:p>
    <w:p w:rsidR="002510CF" w:rsidRPr="006D6392" w:rsidRDefault="002510CF" w:rsidP="002510CF">
      <w:pPr>
        <w:widowControl w:val="0"/>
        <w:numPr>
          <w:ilvl w:val="0"/>
          <w:numId w:val="1"/>
        </w:numPr>
        <w:tabs>
          <w:tab w:val="left" w:pos="360"/>
          <w:tab w:val="left" w:pos="928"/>
        </w:tabs>
        <w:spacing w:line="312" w:lineRule="auto"/>
        <w:ind w:firstLine="567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Комитет, ответственный за этот документ - ISO / TC 212, Клинические лабораторные </w:t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lastRenderedPageBreak/>
        <w:t xml:space="preserve">исследования и системы диагностики </w:t>
      </w:r>
      <w:proofErr w:type="spellStart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in</w:t>
      </w:r>
      <w:proofErr w:type="spellEnd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</w:t>
      </w:r>
      <w:proofErr w:type="spellStart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vitro</w:t>
      </w:r>
      <w:proofErr w:type="spellEnd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.</w:t>
      </w:r>
    </w:p>
    <w:p w:rsidR="00C66504" w:rsidRPr="006D6392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</w:p>
    <w:p w:rsidR="00C66504" w:rsidRPr="006D6392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</w:p>
    <w:p w:rsidR="00C66504" w:rsidRPr="006D6392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</w:p>
    <w:p w:rsidR="00C66504" w:rsidRPr="006D6392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</w:p>
    <w:p w:rsidR="00C66504" w:rsidRPr="006D6392" w:rsidRDefault="00C66504">
      <w:pPr>
        <w:widowControl w:val="0"/>
        <w:tabs>
          <w:tab w:val="left" w:pos="360"/>
        </w:tabs>
        <w:spacing w:after="200" w:line="312" w:lineRule="auto"/>
        <w:ind w:left="567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</w:p>
    <w:p w:rsidR="00C66504" w:rsidRPr="006D6392" w:rsidRDefault="00FB7E98">
      <w:pPr>
        <w:tabs>
          <w:tab w:val="left" w:pos="360"/>
        </w:tabs>
        <w:spacing w:after="200" w:line="300" w:lineRule="exact"/>
        <w:ind w:firstLine="567"/>
        <w:jc w:val="both"/>
        <w:rPr>
          <w:color w:val="000000" w:themeColor="text1"/>
        </w:rPr>
      </w:pPr>
      <w:r w:rsidRPr="006D6392">
        <w:rPr>
          <w:rFonts w:ascii="Arial" w:hAnsi="Arial" w:cs="Arial"/>
          <w:i/>
          <w:color w:val="000000" w:themeColor="text1"/>
          <w:sz w:val="22"/>
          <w:szCs w:val="22"/>
        </w:rPr>
        <w:t>Правила применения настоящего стандарта установлены в статье 26 Федерального закона от 29 июня 2015 г. № 162-ФЗ «О стандартизации в Российской Федерации». Информация об изменениях к настоящему стандарту публикуется в ежегодном (по состоянию на 1 января текущего года) информационном указателе «Национальные стандарты», а официальный текст изменений и поправок – в ежемесячном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ближайшем выпуске ежемесячного информационного указателя «Национальные стандарты». Соответствующая информация, уведомление и тексты размещаются также в информационной системе общего пользования – на официальном сайте Федерального агентства по техническому регулированию и метрологии в сети Интернет (</w:t>
      </w:r>
      <w:hyperlink r:id="rId13">
        <w:r w:rsidRPr="006D6392">
          <w:rPr>
            <w:rStyle w:val="-"/>
            <w:rFonts w:ascii="Arial" w:hAnsi="Arial" w:cs="Arial"/>
            <w:i/>
            <w:color w:val="000000" w:themeColor="text1"/>
            <w:sz w:val="22"/>
            <w:szCs w:val="22"/>
          </w:rPr>
          <w:t>www.gost.ru</w:t>
        </w:r>
      </w:hyperlink>
      <w:r w:rsidRPr="006D6392">
        <w:rPr>
          <w:rFonts w:ascii="Arial" w:hAnsi="Arial" w:cs="Arial"/>
          <w:i/>
          <w:color w:val="000000" w:themeColor="text1"/>
          <w:sz w:val="22"/>
          <w:szCs w:val="22"/>
        </w:rPr>
        <w:t>)</w:t>
      </w:r>
    </w:p>
    <w:p w:rsidR="00C66504" w:rsidRPr="006D6392" w:rsidRDefault="00FB7E98">
      <w:pPr>
        <w:tabs>
          <w:tab w:val="left" w:pos="360"/>
        </w:tabs>
        <w:spacing w:line="360" w:lineRule="exact"/>
        <w:ind w:firstLine="567"/>
        <w:jc w:val="right"/>
        <w:rPr>
          <w:color w:val="000000" w:themeColor="text1"/>
        </w:rPr>
      </w:pP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© </w:t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val="en-US" w:eastAsia="en-US"/>
        </w:rPr>
        <w:t>ISO</w:t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, 2020 – Все права сохраняются</w:t>
      </w:r>
    </w:p>
    <w:p w:rsidR="00C66504" w:rsidRPr="006D6392" w:rsidRDefault="00FB7E98">
      <w:pPr>
        <w:spacing w:line="360" w:lineRule="exact"/>
        <w:ind w:firstLine="567"/>
        <w:jc w:val="right"/>
        <w:rPr>
          <w:color w:val="000000" w:themeColor="text1"/>
        </w:rPr>
      </w:pPr>
      <w:r w:rsidRPr="006D6392">
        <w:rPr>
          <w:rFonts w:ascii="Symbol" w:eastAsia="Calibri" w:hAnsi="Symbol" w:cs="Arial"/>
          <w:color w:val="000000" w:themeColor="text1"/>
          <w:sz w:val="22"/>
          <w:szCs w:val="22"/>
          <w:lang w:eastAsia="en-US"/>
        </w:rPr>
        <w:t></w:t>
      </w: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 xml:space="preserve"> </w:t>
      </w:r>
      <w:proofErr w:type="spellStart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Стандартинформ</w:t>
      </w:r>
      <w:proofErr w:type="spellEnd"/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, оформление, 2020</w:t>
      </w:r>
    </w:p>
    <w:p w:rsidR="00C66504" w:rsidRPr="006D6392" w:rsidRDefault="00C66504">
      <w:pPr>
        <w:spacing w:after="200" w:line="276" w:lineRule="auto"/>
        <w:ind w:firstLine="567"/>
        <w:jc w:val="right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</w:p>
    <w:p w:rsidR="00C66504" w:rsidRPr="006D6392" w:rsidRDefault="00FB7E98">
      <w:pPr>
        <w:widowControl w:val="0"/>
        <w:ind w:firstLine="567"/>
        <w:jc w:val="both"/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</w:pPr>
      <w:r w:rsidRPr="006D6392">
        <w:rPr>
          <w:rFonts w:ascii="Arial" w:eastAsia="Calibri" w:hAnsi="Arial" w:cs="Arial"/>
          <w:color w:val="000000" w:themeColor="text1"/>
          <w:sz w:val="22"/>
          <w:szCs w:val="22"/>
          <w:lang w:eastAsia="en-US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Федерального агентства по техническому регулированию и метрологии</w:t>
      </w:r>
      <w:r w:rsidRPr="006D6392">
        <w:rPr>
          <w:color w:val="000000" w:themeColor="text1"/>
        </w:rPr>
        <w:br w:type="page"/>
      </w:r>
    </w:p>
    <w:p w:rsidR="00C66504" w:rsidRPr="006D6392" w:rsidRDefault="00FB7E98">
      <w:pPr>
        <w:pStyle w:val="afb"/>
        <w:ind w:firstLine="0"/>
        <w:jc w:val="center"/>
        <w:rPr>
          <w:b/>
          <w:color w:val="000000" w:themeColor="text1"/>
          <w:sz w:val="28"/>
          <w:szCs w:val="28"/>
        </w:rPr>
      </w:pPr>
      <w:r w:rsidRPr="006D6392">
        <w:rPr>
          <w:b/>
          <w:color w:val="000000" w:themeColor="text1"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id w:val="-1239948865"/>
        <w:docPartObj>
          <w:docPartGallery w:val="Table of Contents"/>
          <w:docPartUnique/>
        </w:docPartObj>
      </w:sdtPr>
      <w:sdtEndPr>
        <w:rPr>
          <w:rFonts w:ascii="Arial" w:hAnsi="Arial" w:cs="Arial"/>
          <w:bCs/>
        </w:rPr>
      </w:sdtEndPr>
      <w:sdtContent>
        <w:p w:rsidR="00C04E3F" w:rsidRPr="006D6392" w:rsidRDefault="00C04E3F">
          <w:pPr>
            <w:pStyle w:val="aff7"/>
            <w:rPr>
              <w:color w:val="000000" w:themeColor="text1"/>
            </w:rPr>
          </w:pPr>
        </w:p>
        <w:p w:rsidR="00120176" w:rsidRPr="00063991" w:rsidRDefault="00F86676">
          <w:pPr>
            <w:pStyle w:val="15"/>
            <w:tabs>
              <w:tab w:val="right" w:leader="dot" w:pos="10308"/>
            </w:tabs>
            <w:rPr>
              <w:rFonts w:asciiTheme="minorHAnsi" w:eastAsiaTheme="minorEastAsia" w:hAnsiTheme="minorHAnsi" w:cstheme="minorBidi"/>
              <w:b w:val="0"/>
              <w:noProof/>
              <w:color w:val="000000" w:themeColor="text1"/>
              <w:sz w:val="24"/>
              <w:szCs w:val="24"/>
            </w:rPr>
          </w:pPr>
          <w:r w:rsidRPr="00063991">
            <w:rPr>
              <w:b w:val="0"/>
              <w:bCs/>
              <w:color w:val="000000" w:themeColor="text1"/>
              <w:sz w:val="24"/>
              <w:szCs w:val="24"/>
            </w:rPr>
            <w:fldChar w:fldCharType="begin"/>
          </w:r>
          <w:r w:rsidR="00C04E3F" w:rsidRPr="00063991">
            <w:rPr>
              <w:b w:val="0"/>
              <w:bCs/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063991">
            <w:rPr>
              <w:b w:val="0"/>
              <w:bCs/>
              <w:color w:val="000000" w:themeColor="text1"/>
              <w:sz w:val="24"/>
              <w:szCs w:val="24"/>
            </w:rPr>
            <w:fldChar w:fldCharType="separate"/>
          </w:r>
          <w:hyperlink w:anchor="_Toc41224735" w:history="1">
            <w:r w:rsidR="00120176" w:rsidRPr="00063991">
              <w:rPr>
                <w:rStyle w:val="aff1"/>
                <w:b w:val="0"/>
                <w:noProof/>
                <w:color w:val="000000" w:themeColor="text1"/>
                <w:sz w:val="24"/>
                <w:szCs w:val="24"/>
              </w:rPr>
              <w:t>Введение</w: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_Toc41224735 \h </w:instrTex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t>V</w: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120176" w:rsidRPr="00063991" w:rsidRDefault="00C0619C">
          <w:pPr>
            <w:pStyle w:val="15"/>
            <w:tabs>
              <w:tab w:val="right" w:leader="dot" w:pos="10308"/>
            </w:tabs>
            <w:rPr>
              <w:rFonts w:asciiTheme="minorHAnsi" w:eastAsiaTheme="minorEastAsia" w:hAnsiTheme="minorHAnsi" w:cstheme="minorBidi"/>
              <w:b w:val="0"/>
              <w:noProof/>
              <w:color w:val="000000" w:themeColor="text1"/>
              <w:sz w:val="24"/>
              <w:szCs w:val="24"/>
            </w:rPr>
          </w:pPr>
          <w:hyperlink w:anchor="_Toc41224736" w:history="1">
            <w:r w:rsidR="00120176" w:rsidRPr="00063991">
              <w:rPr>
                <w:rStyle w:val="aff1"/>
                <w:b w:val="0"/>
                <w:noProof/>
                <w:color w:val="000000" w:themeColor="text1"/>
                <w:sz w:val="24"/>
                <w:szCs w:val="24"/>
              </w:rPr>
              <w:t>1 Область применения</w: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_Toc41224736 \h </w:instrTex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t>1</w: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120176" w:rsidRPr="00063991" w:rsidRDefault="00C0619C">
          <w:pPr>
            <w:pStyle w:val="15"/>
            <w:tabs>
              <w:tab w:val="right" w:leader="dot" w:pos="10308"/>
            </w:tabs>
            <w:rPr>
              <w:rFonts w:asciiTheme="minorHAnsi" w:eastAsiaTheme="minorEastAsia" w:hAnsiTheme="minorHAnsi" w:cstheme="minorBidi"/>
              <w:b w:val="0"/>
              <w:noProof/>
              <w:color w:val="000000" w:themeColor="text1"/>
              <w:sz w:val="24"/>
              <w:szCs w:val="24"/>
            </w:rPr>
          </w:pPr>
          <w:hyperlink w:anchor="_Toc41224737" w:history="1">
            <w:r w:rsidR="00120176" w:rsidRPr="00063991">
              <w:rPr>
                <w:rStyle w:val="aff1"/>
                <w:b w:val="0"/>
                <w:noProof/>
                <w:color w:val="000000" w:themeColor="text1"/>
                <w:sz w:val="24"/>
                <w:szCs w:val="24"/>
              </w:rPr>
              <w:t>2 Нормативная ссылка</w: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_Toc41224737 \h </w:instrTex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t>2</w: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120176" w:rsidRPr="00063991" w:rsidRDefault="00C0619C">
          <w:pPr>
            <w:pStyle w:val="15"/>
            <w:tabs>
              <w:tab w:val="right" w:leader="dot" w:pos="10308"/>
            </w:tabs>
            <w:rPr>
              <w:rFonts w:asciiTheme="minorHAnsi" w:eastAsiaTheme="minorEastAsia" w:hAnsiTheme="minorHAnsi" w:cstheme="minorBidi"/>
              <w:b w:val="0"/>
              <w:noProof/>
              <w:color w:val="000000" w:themeColor="text1"/>
              <w:sz w:val="24"/>
              <w:szCs w:val="24"/>
            </w:rPr>
          </w:pPr>
          <w:hyperlink w:anchor="_Toc41224738" w:history="1">
            <w:r w:rsidR="00120176" w:rsidRPr="00063991">
              <w:rPr>
                <w:rStyle w:val="aff1"/>
                <w:b w:val="0"/>
                <w:noProof/>
                <w:color w:val="000000" w:themeColor="text1"/>
                <w:sz w:val="24"/>
                <w:szCs w:val="24"/>
              </w:rPr>
              <w:t>3 Термины и определения</w: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_Toc41224738 \h </w:instrTex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t>2</w: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120176" w:rsidRPr="00063991" w:rsidRDefault="00C0619C">
          <w:pPr>
            <w:pStyle w:val="15"/>
            <w:tabs>
              <w:tab w:val="right" w:leader="dot" w:pos="10308"/>
            </w:tabs>
            <w:rPr>
              <w:rFonts w:asciiTheme="minorHAnsi" w:eastAsiaTheme="minorEastAsia" w:hAnsiTheme="minorHAnsi" w:cstheme="minorBidi"/>
              <w:b w:val="0"/>
              <w:noProof/>
              <w:color w:val="000000" w:themeColor="text1"/>
              <w:sz w:val="24"/>
              <w:szCs w:val="24"/>
            </w:rPr>
          </w:pPr>
          <w:hyperlink w:anchor="_Toc41224739" w:history="1">
            <w:r w:rsidR="00120176" w:rsidRPr="00063991">
              <w:rPr>
                <w:rStyle w:val="aff1"/>
                <w:b w:val="0"/>
                <w:noProof/>
                <w:color w:val="000000" w:themeColor="text1"/>
                <w:sz w:val="24"/>
                <w:szCs w:val="24"/>
              </w:rPr>
              <w:t>3.1 антимикробный агент</w: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_Toc41224739 \h </w:instrTex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t>2</w: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120176" w:rsidRPr="00063991" w:rsidRDefault="00C0619C">
          <w:pPr>
            <w:pStyle w:val="15"/>
            <w:tabs>
              <w:tab w:val="right" w:leader="dot" w:pos="10308"/>
            </w:tabs>
            <w:rPr>
              <w:rFonts w:asciiTheme="minorHAnsi" w:eastAsiaTheme="minorEastAsia" w:hAnsiTheme="minorHAnsi" w:cstheme="minorBidi"/>
              <w:b w:val="0"/>
              <w:noProof/>
              <w:color w:val="000000" w:themeColor="text1"/>
              <w:sz w:val="24"/>
              <w:szCs w:val="24"/>
            </w:rPr>
          </w:pPr>
          <w:hyperlink w:anchor="_Toc41224740" w:history="1">
            <w:r w:rsidR="00120176" w:rsidRPr="00063991">
              <w:rPr>
                <w:rStyle w:val="aff1"/>
                <w:b w:val="0"/>
                <w:noProof/>
                <w:color w:val="000000" w:themeColor="text1"/>
                <w:sz w:val="24"/>
                <w:szCs w:val="24"/>
              </w:rPr>
              <w:t>Приложение ДА (справочное) Сведения о соответствии ссылочных международных стандартов национальным стандартам</w: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_Toc41224740 \h </w:instrTex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t>18</w: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120176" w:rsidRPr="00063991" w:rsidRDefault="00C0619C">
          <w:pPr>
            <w:pStyle w:val="15"/>
            <w:tabs>
              <w:tab w:val="right" w:leader="dot" w:pos="10308"/>
            </w:tabs>
            <w:rPr>
              <w:rFonts w:asciiTheme="minorHAnsi" w:eastAsiaTheme="minorEastAsia" w:hAnsiTheme="minorHAnsi" w:cstheme="minorBidi"/>
              <w:b w:val="0"/>
              <w:noProof/>
              <w:color w:val="000000" w:themeColor="text1"/>
              <w:sz w:val="24"/>
              <w:szCs w:val="24"/>
            </w:rPr>
          </w:pPr>
          <w:hyperlink w:anchor="_Toc41224741" w:history="1">
            <w:r w:rsidR="00120176" w:rsidRPr="00063991">
              <w:rPr>
                <w:rStyle w:val="aff1"/>
                <w:b w:val="0"/>
                <w:noProof/>
                <w:color w:val="000000" w:themeColor="text1"/>
                <w:sz w:val="24"/>
                <w:szCs w:val="24"/>
              </w:rPr>
              <w:t>Библиография</w: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tab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begin"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instrText xml:space="preserve"> PAGEREF _Toc41224741 \h </w:instrTex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separate"/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t>30</w:t>
            </w:r>
            <w:r w:rsidR="00120176" w:rsidRPr="00063991">
              <w:rPr>
                <w:b w:val="0"/>
                <w:noProof/>
                <w:webHidden/>
                <w:color w:val="000000" w:themeColor="text1"/>
                <w:sz w:val="24"/>
                <w:szCs w:val="24"/>
              </w:rPr>
              <w:fldChar w:fldCharType="end"/>
            </w:r>
          </w:hyperlink>
        </w:p>
        <w:p w:rsidR="00C04E3F" w:rsidRPr="00063991" w:rsidRDefault="00F86676" w:rsidP="00833500">
          <w:pPr>
            <w:spacing w:line="360" w:lineRule="auto"/>
            <w:rPr>
              <w:rFonts w:ascii="Arial" w:hAnsi="Arial" w:cs="Arial"/>
              <w:color w:val="000000" w:themeColor="text1"/>
            </w:rPr>
          </w:pPr>
          <w:r w:rsidRPr="00063991">
            <w:rPr>
              <w:rFonts w:ascii="Arial" w:hAnsi="Arial" w:cs="Arial"/>
              <w:bCs/>
              <w:color w:val="000000" w:themeColor="text1"/>
            </w:rPr>
            <w:fldChar w:fldCharType="end"/>
          </w:r>
        </w:p>
      </w:sdtContent>
    </w:sdt>
    <w:p w:rsidR="00726D0F" w:rsidRPr="006D6392" w:rsidRDefault="00726D0F">
      <w:pPr>
        <w:suppressAutoHyphens w:val="0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br w:type="page"/>
      </w:r>
    </w:p>
    <w:p w:rsidR="002510CF" w:rsidRPr="006D6392" w:rsidRDefault="00FB7E98" w:rsidP="002510CF">
      <w:pPr>
        <w:pStyle w:val="1"/>
        <w:spacing w:before="240" w:after="240"/>
        <w:jc w:val="center"/>
        <w:rPr>
          <w:rFonts w:ascii="Arial" w:hAnsi="Arial" w:cs="Arial"/>
          <w:color w:val="000000" w:themeColor="text1"/>
        </w:rPr>
      </w:pPr>
      <w:bookmarkStart w:id="4" w:name="_Toc41224735"/>
      <w:r w:rsidRPr="006D6392">
        <w:rPr>
          <w:rFonts w:ascii="Arial" w:hAnsi="Arial" w:cs="Arial"/>
          <w:color w:val="000000" w:themeColor="text1"/>
        </w:rPr>
        <w:lastRenderedPageBreak/>
        <w:t>Введение</w:t>
      </w:r>
      <w:bookmarkEnd w:id="4"/>
    </w:p>
    <w:p w:rsidR="002510CF" w:rsidRPr="006D6392" w:rsidRDefault="002510CF" w:rsidP="00063991">
      <w:pPr>
        <w:suppressAutoHyphens w:val="0"/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Исторически сложилось так, что, хотя для оценки чувствительности микроорганизмов были рекомендованы различные среды, бульон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был выбран в качестве эталонной среды для определения минимальных подавляющих концентраций (МПК) методом серийных </w:t>
      </w:r>
      <w:proofErr w:type="spellStart"/>
      <w:r w:rsidRPr="006D6392">
        <w:rPr>
          <w:rFonts w:ascii="Arial" w:hAnsi="Arial" w:cs="Arial"/>
          <w:color w:val="000000" w:themeColor="text1"/>
        </w:rPr>
        <w:t>микроразведений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(ISO 20776-1), а </w:t>
      </w:r>
      <w:proofErr w:type="spellStart"/>
      <w:r w:rsidRPr="006D6392">
        <w:rPr>
          <w:rFonts w:ascii="Arial" w:hAnsi="Arial" w:cs="Arial"/>
          <w:color w:val="000000" w:themeColor="text1"/>
        </w:rPr>
        <w:t>агар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наиболее широко используется для определения чувствительности быстрорастущих бактерий к антибиотикам </w:t>
      </w:r>
      <w:proofErr w:type="gramStart"/>
      <w:r w:rsidRPr="006D6392">
        <w:rPr>
          <w:rFonts w:ascii="Arial" w:hAnsi="Arial" w:cs="Arial"/>
          <w:color w:val="000000" w:themeColor="text1"/>
        </w:rPr>
        <w:t>диско-диффузионным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методом. </w:t>
      </w:r>
    </w:p>
    <w:p w:rsidR="002510CF" w:rsidRPr="006D6392" w:rsidRDefault="002510CF" w:rsidP="00063991">
      <w:pPr>
        <w:suppressAutoHyphens w:val="0"/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Среда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обеспечивает удовлетворительный рост большинства патогенов c обычными питательными потребностями (неприхотливых), </w:t>
      </w:r>
      <w:proofErr w:type="gramStart"/>
      <w:r w:rsidRPr="006D6392">
        <w:rPr>
          <w:rFonts w:ascii="Arial" w:hAnsi="Arial" w:cs="Arial"/>
          <w:color w:val="000000" w:themeColor="text1"/>
        </w:rPr>
        <w:t>приемлемую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воспроизводимость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от партии к партии, низкий уровень ингибиторов сульфаниламидов, </w:t>
      </w:r>
      <w:proofErr w:type="spellStart"/>
      <w:r w:rsidRPr="006D6392">
        <w:rPr>
          <w:rFonts w:ascii="Arial" w:hAnsi="Arial" w:cs="Arial"/>
          <w:color w:val="000000" w:themeColor="text1"/>
        </w:rPr>
        <w:t>триметоприма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и тетрациклина. С использованием этой среды в ходе исследований чувствительности к антимикробным препаратам в течение нескольких десятилетий было собрано большое количество данных.  </w:t>
      </w:r>
    </w:p>
    <w:p w:rsidR="002510CF" w:rsidRPr="006D6392" w:rsidRDefault="002510CF" w:rsidP="00063991">
      <w:pPr>
        <w:suppressAutoHyphens w:val="0"/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Настоящий стандарт является результатом усилий по созданию стандартного описания и протокола, при помощи которых производители </w:t>
      </w:r>
      <w:proofErr w:type="spellStart"/>
      <w:r w:rsidRPr="006D6392">
        <w:rPr>
          <w:rFonts w:ascii="Arial" w:hAnsi="Arial" w:cs="Arial"/>
          <w:color w:val="000000" w:themeColor="text1"/>
        </w:rPr>
        <w:t>дегидратированных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агара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и бульона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могут определить его приемлемые рабочие характеристики.</w:t>
      </w:r>
    </w:p>
    <w:p w:rsidR="002510CF" w:rsidRPr="00C70B0F" w:rsidRDefault="002510CF" w:rsidP="00063991">
      <w:pPr>
        <w:suppressAutoHyphens w:val="0"/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Результаты исследований соответствуют установленным предельным диапазонам контроля качества для </w:t>
      </w:r>
      <w:r w:rsidRPr="00C70B0F">
        <w:rPr>
          <w:rFonts w:ascii="Arial" w:hAnsi="Arial" w:cs="Arial"/>
          <w:color w:val="000000" w:themeColor="text1"/>
        </w:rPr>
        <w:t xml:space="preserve">каждой комбинации антимикробного средства и контрольных штаммов. Каждая производственная партия проходит проверку, по крайней мере, при помощи данных комбинаций антимикробных агентов и контрольных штаммов. </w:t>
      </w:r>
    </w:p>
    <w:p w:rsidR="002510CF" w:rsidRPr="006D6392" w:rsidRDefault="00C70B0F" w:rsidP="00063991">
      <w:pPr>
        <w:suppressAutoHyphens w:val="0"/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C70B0F">
        <w:rPr>
          <w:rFonts w:ascii="Arial" w:hAnsi="Arial" w:cs="Arial"/>
          <w:color w:val="000000" w:themeColor="text1"/>
          <w:lang w:val="en-US"/>
        </w:rPr>
        <w:t>ISO</w:t>
      </w:r>
      <w:r w:rsidRPr="00C70B0F">
        <w:rPr>
          <w:rFonts w:ascii="Arial" w:hAnsi="Arial" w:cs="Arial"/>
          <w:color w:val="000000" w:themeColor="text1"/>
        </w:rPr>
        <w:t>/</w:t>
      </w:r>
      <w:r w:rsidRPr="00C70B0F">
        <w:rPr>
          <w:rFonts w:ascii="Arial" w:hAnsi="Arial" w:cs="Arial"/>
          <w:color w:val="000000" w:themeColor="text1"/>
          <w:lang w:val="en-US"/>
        </w:rPr>
        <w:t>TS</w:t>
      </w:r>
      <w:r w:rsidRPr="00C70B0F">
        <w:rPr>
          <w:rFonts w:ascii="Arial" w:hAnsi="Arial" w:cs="Arial"/>
          <w:color w:val="000000" w:themeColor="text1"/>
        </w:rPr>
        <w:t xml:space="preserve"> 16782:201</w:t>
      </w:r>
      <w:r w:rsidR="006240B3">
        <w:rPr>
          <w:rFonts w:ascii="Arial" w:hAnsi="Arial" w:cs="Arial"/>
          <w:color w:val="000000" w:themeColor="text1"/>
        </w:rPr>
        <w:t>6</w:t>
      </w:r>
      <w:r w:rsidRPr="00C70B0F">
        <w:rPr>
          <w:rFonts w:ascii="Arial" w:hAnsi="Arial" w:cs="Arial"/>
          <w:color w:val="000000" w:themeColor="text1"/>
        </w:rPr>
        <w:t xml:space="preserve"> был разработан</w:t>
      </w:r>
      <w:r w:rsidR="002510CF" w:rsidRPr="00C70B0F">
        <w:rPr>
          <w:rFonts w:ascii="Arial" w:hAnsi="Arial" w:cs="Arial"/>
          <w:color w:val="000000" w:themeColor="text1"/>
        </w:rPr>
        <w:t>, в частности, на основе двух документов Института Клинических и Лабораторных Стандартов (</w:t>
      </w:r>
      <w:proofErr w:type="spellStart"/>
      <w:r w:rsidR="002510CF" w:rsidRPr="00C70B0F">
        <w:rPr>
          <w:rFonts w:ascii="Arial" w:hAnsi="Arial" w:cs="Arial"/>
          <w:color w:val="000000" w:themeColor="text1"/>
        </w:rPr>
        <w:t>Clinical</w:t>
      </w:r>
      <w:proofErr w:type="spellEnd"/>
      <w:r w:rsidR="002510CF" w:rsidRPr="00C70B0F">
        <w:rPr>
          <w:rFonts w:ascii="Arial" w:hAnsi="Arial" w:cs="Arial"/>
          <w:color w:val="000000" w:themeColor="text1"/>
        </w:rPr>
        <w:t xml:space="preserve"> </w:t>
      </w:r>
      <w:proofErr w:type="spellStart"/>
      <w:r w:rsidR="002510CF" w:rsidRPr="00C70B0F">
        <w:rPr>
          <w:rFonts w:ascii="Arial" w:hAnsi="Arial" w:cs="Arial"/>
          <w:color w:val="000000" w:themeColor="text1"/>
        </w:rPr>
        <w:t>and</w:t>
      </w:r>
      <w:proofErr w:type="spellEnd"/>
      <w:r w:rsidR="002510CF" w:rsidRPr="00C70B0F">
        <w:rPr>
          <w:rFonts w:ascii="Arial" w:hAnsi="Arial" w:cs="Arial"/>
          <w:color w:val="000000" w:themeColor="text1"/>
        </w:rPr>
        <w:t xml:space="preserve"> </w:t>
      </w:r>
      <w:proofErr w:type="spellStart"/>
      <w:r w:rsidR="002510CF" w:rsidRPr="00C70B0F">
        <w:rPr>
          <w:rFonts w:ascii="Arial" w:hAnsi="Arial" w:cs="Arial"/>
          <w:color w:val="000000" w:themeColor="text1"/>
        </w:rPr>
        <w:t>Laboratory</w:t>
      </w:r>
      <w:proofErr w:type="spellEnd"/>
      <w:r w:rsidR="002510CF" w:rsidRPr="00C70B0F">
        <w:rPr>
          <w:rFonts w:ascii="Arial" w:hAnsi="Arial" w:cs="Arial"/>
          <w:color w:val="000000" w:themeColor="text1"/>
        </w:rPr>
        <w:t xml:space="preserve"> </w:t>
      </w:r>
      <w:proofErr w:type="spellStart"/>
      <w:r w:rsidR="002510CF" w:rsidRPr="00C70B0F">
        <w:rPr>
          <w:rFonts w:ascii="Arial" w:hAnsi="Arial" w:cs="Arial"/>
          <w:color w:val="000000" w:themeColor="text1"/>
        </w:rPr>
        <w:t>Standards</w:t>
      </w:r>
      <w:proofErr w:type="spellEnd"/>
      <w:r w:rsidR="002510CF" w:rsidRPr="00C70B0F">
        <w:rPr>
          <w:rFonts w:ascii="Arial" w:hAnsi="Arial" w:cs="Arial"/>
          <w:color w:val="000000" w:themeColor="text1"/>
        </w:rPr>
        <w:t xml:space="preserve"> </w:t>
      </w:r>
      <w:proofErr w:type="spellStart"/>
      <w:r w:rsidR="002510CF" w:rsidRPr="00C70B0F">
        <w:rPr>
          <w:rFonts w:ascii="Arial" w:hAnsi="Arial" w:cs="Arial"/>
          <w:color w:val="000000" w:themeColor="text1"/>
        </w:rPr>
        <w:t>Institute</w:t>
      </w:r>
      <w:proofErr w:type="spellEnd"/>
      <w:r w:rsidR="002510CF" w:rsidRPr="00C70B0F">
        <w:rPr>
          <w:rFonts w:ascii="Arial" w:hAnsi="Arial" w:cs="Arial"/>
          <w:color w:val="000000" w:themeColor="text1"/>
        </w:rPr>
        <w:t xml:space="preserve"> - CLSI), CLSI M6-</w:t>
      </w:r>
      <w:proofErr w:type="gramStart"/>
      <w:r w:rsidR="002510CF" w:rsidRPr="00C70B0F">
        <w:rPr>
          <w:rFonts w:ascii="Arial" w:hAnsi="Arial" w:cs="Arial"/>
          <w:color w:val="000000" w:themeColor="text1"/>
        </w:rPr>
        <w:t>A2[</w:t>
      </w:r>
      <w:proofErr w:type="gramEnd"/>
      <w:r w:rsidR="002510CF" w:rsidRPr="00C70B0F">
        <w:rPr>
          <w:rFonts w:ascii="Arial" w:hAnsi="Arial" w:cs="Arial"/>
          <w:color w:val="000000" w:themeColor="text1"/>
        </w:rPr>
        <w:t>1] (протоколы</w:t>
      </w:r>
      <w:r w:rsidR="002510CF" w:rsidRPr="006D6392">
        <w:rPr>
          <w:rFonts w:ascii="Arial" w:hAnsi="Arial" w:cs="Arial"/>
          <w:color w:val="000000" w:themeColor="text1"/>
        </w:rPr>
        <w:t xml:space="preserve"> оценки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дегидратированного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агара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) и CLSI M32-P[2] (оценка партий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дегидратированного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бульона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для определения чувствительности к антимикробным препаратам), с разрешения. После публикации ISO 16782, документы CLSI M6-A2[1] и M32-P[2] больше не будут доступны. Производители могут руководствоваться ISO 16782 при оценке рабочих характеристик производственных партий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агара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и бульона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. </w:t>
      </w:r>
    </w:p>
    <w:p w:rsidR="002510CF" w:rsidRPr="006D6392" w:rsidRDefault="002510CF" w:rsidP="00833500">
      <w:pPr>
        <w:suppressAutoHyphens w:val="0"/>
        <w:spacing w:before="120" w:after="120" w:line="360" w:lineRule="auto"/>
        <w:jc w:val="both"/>
        <w:rPr>
          <w:rFonts w:ascii="Arial" w:hAnsi="Arial" w:cs="Arial"/>
          <w:b/>
          <w:caps/>
          <w:color w:val="000000" w:themeColor="text1"/>
          <w:spacing w:val="70"/>
          <w:szCs w:val="20"/>
          <w:lang w:eastAsia="ja-JP"/>
        </w:rPr>
        <w:sectPr w:rsidR="002510CF" w:rsidRPr="006D6392" w:rsidSect="00BF68B7">
          <w:headerReference w:type="even" r:id="rId14"/>
          <w:headerReference w:type="default" r:id="rId15"/>
          <w:footerReference w:type="even" r:id="rId16"/>
          <w:footerReference w:type="default" r:id="rId17"/>
          <w:pgSz w:w="11906" w:h="16838"/>
          <w:pgMar w:top="794" w:right="737" w:bottom="567" w:left="851" w:header="0" w:footer="402" w:gutter="0"/>
          <w:pgNumType w:fmt="upperRoman"/>
          <w:cols w:space="720"/>
          <w:formProt w:val="0"/>
          <w:titlePg/>
          <w:docGrid w:linePitch="326" w:charSpace="-6145"/>
        </w:sectPr>
      </w:pPr>
    </w:p>
    <w:p w:rsidR="004327EA" w:rsidRPr="006D6392" w:rsidRDefault="004327EA">
      <w:pPr>
        <w:suppressAutoHyphens w:val="0"/>
        <w:rPr>
          <w:rFonts w:ascii="Arial" w:hAnsi="Arial" w:cs="Arial"/>
          <w:b/>
          <w:caps/>
          <w:color w:val="000000" w:themeColor="text1"/>
          <w:spacing w:val="70"/>
          <w:szCs w:val="20"/>
          <w:lang w:eastAsia="ja-JP"/>
        </w:rPr>
      </w:pPr>
    </w:p>
    <w:p w:rsidR="00C66504" w:rsidRPr="00C70B0F" w:rsidRDefault="00FB7E98">
      <w:pPr>
        <w:pStyle w:val="af2"/>
        <w:widowControl w:val="0"/>
        <w:pBdr>
          <w:bottom w:val="single" w:sz="24" w:space="1" w:color="00000A"/>
        </w:pBdr>
        <w:ind w:firstLine="0"/>
        <w:rPr>
          <w:rFonts w:cs="Arial"/>
          <w:caps/>
          <w:color w:val="000000" w:themeColor="text1"/>
          <w:spacing w:val="50"/>
          <w:sz w:val="24"/>
        </w:rPr>
      </w:pPr>
      <w:r w:rsidRPr="00C70B0F">
        <w:rPr>
          <w:rFonts w:cs="Arial"/>
          <w:caps/>
          <w:color w:val="000000" w:themeColor="text1"/>
          <w:spacing w:val="50"/>
          <w:sz w:val="24"/>
        </w:rPr>
        <w:t>национальный стандарт Российской федерации</w:t>
      </w:r>
    </w:p>
    <w:p w:rsidR="00C66504" w:rsidRPr="006D6392" w:rsidRDefault="00C66504">
      <w:pPr>
        <w:pStyle w:val="FR1"/>
        <w:spacing w:line="240" w:lineRule="auto"/>
        <w:ind w:left="0" w:right="0"/>
        <w:rPr>
          <w:rFonts w:ascii="Arial" w:hAnsi="Arial" w:cs="Arial"/>
          <w:bCs/>
          <w:color w:val="000000" w:themeColor="text1"/>
          <w:sz w:val="12"/>
          <w:szCs w:val="12"/>
        </w:rPr>
      </w:pPr>
    </w:p>
    <w:p w:rsidR="00C70B0F" w:rsidRPr="00C70B0F" w:rsidRDefault="00C70B0F" w:rsidP="00C70B0F">
      <w:pPr>
        <w:jc w:val="center"/>
        <w:rPr>
          <w:rFonts w:ascii="Arial" w:hAnsi="Arial" w:cs="Arial"/>
          <w:b/>
          <w:color w:val="000000" w:themeColor="text1"/>
        </w:rPr>
      </w:pPr>
      <w:proofErr w:type="spellStart"/>
      <w:r w:rsidRPr="00C70B0F">
        <w:rPr>
          <w:rFonts w:ascii="Arial" w:hAnsi="Arial" w:cs="Arial"/>
          <w:b/>
          <w:color w:val="000000" w:themeColor="text1"/>
        </w:rPr>
        <w:t>Клиниколабораторные</w:t>
      </w:r>
      <w:proofErr w:type="spellEnd"/>
      <w:r w:rsidRPr="00C70B0F">
        <w:rPr>
          <w:rFonts w:ascii="Arial" w:hAnsi="Arial" w:cs="Arial"/>
          <w:b/>
          <w:color w:val="000000" w:themeColor="text1"/>
        </w:rPr>
        <w:t xml:space="preserve"> исследования </w:t>
      </w:r>
    </w:p>
    <w:p w:rsidR="00BA4953" w:rsidRPr="00C70B0F" w:rsidRDefault="00C70B0F" w:rsidP="00C70B0F">
      <w:pPr>
        <w:jc w:val="center"/>
        <w:rPr>
          <w:rFonts w:ascii="Arial" w:hAnsi="Arial" w:cs="Arial"/>
          <w:b/>
          <w:color w:val="000000" w:themeColor="text1"/>
        </w:rPr>
      </w:pPr>
      <w:r w:rsidRPr="00C70B0F">
        <w:rPr>
          <w:rFonts w:ascii="Arial" w:hAnsi="Arial" w:cs="Arial"/>
          <w:b/>
        </w:rPr>
        <w:t xml:space="preserve">Критерии для приемлемых партий обезвоженного </w:t>
      </w:r>
      <w:proofErr w:type="spellStart"/>
      <w:r w:rsidRPr="00C70B0F">
        <w:rPr>
          <w:rFonts w:ascii="Arial" w:hAnsi="Arial" w:cs="Arial"/>
          <w:b/>
        </w:rPr>
        <w:t>агара</w:t>
      </w:r>
      <w:proofErr w:type="spellEnd"/>
      <w:r w:rsidRPr="00C70B0F">
        <w:rPr>
          <w:rFonts w:ascii="Arial" w:hAnsi="Arial" w:cs="Arial"/>
          <w:b/>
        </w:rPr>
        <w:t xml:space="preserve"> </w:t>
      </w:r>
      <w:proofErr w:type="spellStart"/>
      <w:r w:rsidRPr="00C70B0F">
        <w:rPr>
          <w:rFonts w:ascii="Arial" w:hAnsi="Arial" w:cs="Arial"/>
          <w:b/>
        </w:rPr>
        <w:t>Mueller-Hinton</w:t>
      </w:r>
      <w:proofErr w:type="spellEnd"/>
      <w:r w:rsidRPr="00C70B0F">
        <w:rPr>
          <w:rFonts w:ascii="Arial" w:hAnsi="Arial" w:cs="Arial"/>
          <w:b/>
        </w:rPr>
        <w:t xml:space="preserve"> и бульона для исследования антимикробной чувствительности</w:t>
      </w:r>
    </w:p>
    <w:p w:rsidR="00C66504" w:rsidRPr="00C70B0F" w:rsidRDefault="00C66504">
      <w:pPr>
        <w:jc w:val="center"/>
        <w:rPr>
          <w:rFonts w:ascii="Arial" w:hAnsi="Arial" w:cs="Arial"/>
          <w:b/>
          <w:bCs/>
          <w:i/>
          <w:color w:val="000000" w:themeColor="text1"/>
        </w:rPr>
      </w:pPr>
    </w:p>
    <w:p w:rsidR="00C66504" w:rsidRPr="006D6392" w:rsidRDefault="00BA4953">
      <w:pPr>
        <w:widowControl w:val="0"/>
        <w:pBdr>
          <w:bottom w:val="single" w:sz="18" w:space="0" w:color="00000A"/>
        </w:pBdr>
        <w:jc w:val="center"/>
        <w:rPr>
          <w:color w:val="000000" w:themeColor="text1"/>
          <w:sz w:val="16"/>
          <w:szCs w:val="16"/>
          <w:lang w:val="en-US"/>
        </w:rPr>
      </w:pPr>
      <w:r w:rsidRPr="006D6392">
        <w:rPr>
          <w:rFonts w:ascii="Arial" w:hAnsi="Arial" w:cs="Arial"/>
          <w:b/>
          <w:bCs/>
          <w:i/>
          <w:color w:val="000000" w:themeColor="text1"/>
          <w:lang w:val="en-GB"/>
        </w:rPr>
        <w:t>Clinical laboratory testing — Criteria</w:t>
      </w:r>
      <w:r w:rsidRPr="006D6392">
        <w:rPr>
          <w:rFonts w:ascii="Arial" w:hAnsi="Arial" w:cs="Arial"/>
          <w:b/>
          <w:bCs/>
          <w:i/>
          <w:color w:val="000000" w:themeColor="text1"/>
          <w:lang w:val="en-US"/>
        </w:rPr>
        <w:t xml:space="preserve"> </w:t>
      </w:r>
      <w:r w:rsidRPr="006D6392">
        <w:rPr>
          <w:rFonts w:ascii="Arial" w:hAnsi="Arial" w:cs="Arial"/>
          <w:b/>
          <w:bCs/>
          <w:i/>
          <w:color w:val="000000" w:themeColor="text1"/>
          <w:lang w:val="en-GB"/>
        </w:rPr>
        <w:t>for acceptable lots of dehydrated</w:t>
      </w:r>
      <w:r w:rsidRPr="006D6392">
        <w:rPr>
          <w:rFonts w:ascii="Arial" w:hAnsi="Arial" w:cs="Arial"/>
          <w:b/>
          <w:bCs/>
          <w:i/>
          <w:color w:val="000000" w:themeColor="text1"/>
          <w:lang w:val="en-US"/>
        </w:rPr>
        <w:t xml:space="preserve"> </w:t>
      </w:r>
      <w:r w:rsidRPr="006D6392">
        <w:rPr>
          <w:rFonts w:ascii="Arial" w:hAnsi="Arial" w:cs="Arial"/>
          <w:b/>
          <w:bCs/>
          <w:i/>
          <w:color w:val="000000" w:themeColor="text1"/>
          <w:lang w:val="en-GB"/>
        </w:rPr>
        <w:t>Mueller-Hinton agar and broth for</w:t>
      </w:r>
      <w:r w:rsidRPr="006D6392">
        <w:rPr>
          <w:rFonts w:ascii="Arial" w:hAnsi="Arial" w:cs="Arial"/>
          <w:b/>
          <w:bCs/>
          <w:i/>
          <w:color w:val="000000" w:themeColor="text1"/>
          <w:lang w:val="en-US"/>
        </w:rPr>
        <w:t xml:space="preserve"> </w:t>
      </w:r>
      <w:r w:rsidRPr="006D6392">
        <w:rPr>
          <w:rFonts w:ascii="Arial" w:hAnsi="Arial" w:cs="Arial"/>
          <w:b/>
          <w:bCs/>
          <w:i/>
          <w:color w:val="000000" w:themeColor="text1"/>
          <w:lang w:val="en-GB"/>
        </w:rPr>
        <w:t>antimicrobial susceptibility testing</w:t>
      </w:r>
    </w:p>
    <w:p w:rsidR="00C66504" w:rsidRPr="006D6392" w:rsidRDefault="00FB7E98">
      <w:pPr>
        <w:widowControl w:val="0"/>
        <w:spacing w:before="120"/>
        <w:ind w:firstLine="680"/>
        <w:jc w:val="right"/>
        <w:rPr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>Дата введения – 2020–__–__</w:t>
      </w:r>
    </w:p>
    <w:p w:rsidR="002510CF" w:rsidRPr="006D6392" w:rsidRDefault="002510CF" w:rsidP="004D5643">
      <w:pPr>
        <w:pStyle w:val="1"/>
        <w:spacing w:before="240" w:after="240"/>
        <w:ind w:firstLine="567"/>
        <w:rPr>
          <w:rFonts w:ascii="Arial" w:hAnsi="Arial" w:cs="Arial"/>
          <w:color w:val="000000" w:themeColor="text1"/>
        </w:rPr>
      </w:pPr>
      <w:bookmarkStart w:id="5" w:name="_Toc41224736"/>
      <w:r w:rsidRPr="006D6392">
        <w:rPr>
          <w:rFonts w:ascii="Arial" w:hAnsi="Arial" w:cs="Arial"/>
          <w:color w:val="000000" w:themeColor="text1"/>
        </w:rPr>
        <w:t>1 Область применения</w:t>
      </w:r>
      <w:bookmarkEnd w:id="5"/>
    </w:p>
    <w:p w:rsidR="002510CF" w:rsidRPr="006D6392" w:rsidRDefault="00C70B0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Настоящий стандарт устанавливает </w:t>
      </w:r>
      <w:bookmarkStart w:id="6" w:name="_GoBack"/>
      <w:bookmarkEnd w:id="6"/>
      <w:r w:rsidR="002510CF" w:rsidRPr="006D6392">
        <w:rPr>
          <w:rFonts w:ascii="Arial" w:hAnsi="Arial" w:cs="Arial"/>
          <w:color w:val="000000" w:themeColor="text1"/>
        </w:rPr>
        <w:t xml:space="preserve">стандартное описание физических свойств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дегидратированного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агара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(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дАМХ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) и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дегидратированного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бульона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(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дБМХ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) и критерии, по которым производители могут оценить рабочие качеств, производственных партий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сАМХ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и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сБМХ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. Производственные партии бульона или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агара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затем могут быть использованы всеми потребителями, включая производителей устрой</w:t>
      </w:r>
      <w:proofErr w:type="gramStart"/>
      <w:r w:rsidR="002510CF" w:rsidRPr="006D6392">
        <w:rPr>
          <w:rFonts w:ascii="Arial" w:hAnsi="Arial" w:cs="Arial"/>
          <w:color w:val="000000" w:themeColor="text1"/>
        </w:rPr>
        <w:t>ств дл</w:t>
      </w:r>
      <w:proofErr w:type="gramEnd"/>
      <w:r w:rsidR="002510CF" w:rsidRPr="006D6392">
        <w:rPr>
          <w:rFonts w:ascii="Arial" w:hAnsi="Arial" w:cs="Arial"/>
          <w:color w:val="000000" w:themeColor="text1"/>
        </w:rPr>
        <w:t xml:space="preserve">я оценки чувствительности к антимикробным препаратам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in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vitro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, в качестве среды для проведения исследований чувствительности к антимикробным препаратам. </w:t>
      </w:r>
    </w:p>
    <w:p w:rsidR="002510CF" w:rsidRPr="006D6392" w:rsidRDefault="00C70B0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Настоящий стандарт не распространяется на </w:t>
      </w:r>
      <w:r w:rsidR="002510CF" w:rsidRPr="006D6392">
        <w:rPr>
          <w:rFonts w:ascii="Arial" w:hAnsi="Arial" w:cs="Arial"/>
          <w:color w:val="000000" w:themeColor="text1"/>
        </w:rPr>
        <w:t>добавк</w:t>
      </w:r>
      <w:r>
        <w:rPr>
          <w:rFonts w:ascii="Arial" w:hAnsi="Arial" w:cs="Arial"/>
          <w:color w:val="000000" w:themeColor="text1"/>
        </w:rPr>
        <w:t>и</w:t>
      </w:r>
      <w:r w:rsidR="002510CF" w:rsidRPr="006D6392">
        <w:rPr>
          <w:rFonts w:ascii="Arial" w:hAnsi="Arial" w:cs="Arial"/>
          <w:color w:val="000000" w:themeColor="text1"/>
        </w:rPr>
        <w:t xml:space="preserve"> (например, кровь или препараты крови)</w:t>
      </w:r>
      <w:r>
        <w:rPr>
          <w:rFonts w:ascii="Arial" w:hAnsi="Arial" w:cs="Arial"/>
          <w:color w:val="000000" w:themeColor="text1"/>
        </w:rPr>
        <w:t>,</w:t>
      </w:r>
      <w:r w:rsidR="002510CF" w:rsidRPr="006D6392">
        <w:rPr>
          <w:rFonts w:ascii="Arial" w:hAnsi="Arial" w:cs="Arial"/>
          <w:color w:val="000000" w:themeColor="text1"/>
        </w:rPr>
        <w:t xml:space="preserve"> которые добавляют в питательную среду для поддержания роста бактерий, со сложными питательными потребностями [3][4][5][6]. Внесение этих добавок предусмотрено после того, как из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дегидратированной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среды приготавливается конечный продукт в жидком виде, и выходит за рамки </w:t>
      </w:r>
      <w:r>
        <w:rPr>
          <w:rFonts w:ascii="Arial" w:hAnsi="Arial" w:cs="Arial"/>
          <w:color w:val="000000" w:themeColor="text1"/>
        </w:rPr>
        <w:t>настоящего стандарта</w:t>
      </w:r>
      <w:r w:rsidR="002510CF" w:rsidRPr="006D6392">
        <w:rPr>
          <w:rFonts w:ascii="Arial" w:hAnsi="Arial" w:cs="Arial"/>
          <w:color w:val="000000" w:themeColor="text1"/>
        </w:rPr>
        <w:t xml:space="preserve">. </w:t>
      </w:r>
      <w:proofErr w:type="gramStart"/>
      <w:r w:rsidR="002510CF" w:rsidRPr="006D6392">
        <w:rPr>
          <w:rFonts w:ascii="Arial" w:hAnsi="Arial" w:cs="Arial"/>
          <w:color w:val="000000" w:themeColor="text1"/>
        </w:rPr>
        <w:t xml:space="preserve">Хотя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агар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можно использовать для определения МПК методом серийных разведений в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агаре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[4][6] или  методом градиентной диффузии, </w:t>
      </w:r>
      <w:r>
        <w:rPr>
          <w:rFonts w:ascii="Arial" w:hAnsi="Arial" w:cs="Arial"/>
          <w:color w:val="000000" w:themeColor="text1"/>
        </w:rPr>
        <w:t>настоящий стандарт</w:t>
      </w:r>
      <w:r w:rsidR="002510CF" w:rsidRPr="006D6392">
        <w:rPr>
          <w:rFonts w:ascii="Arial" w:hAnsi="Arial" w:cs="Arial"/>
          <w:color w:val="000000" w:themeColor="text1"/>
        </w:rPr>
        <w:t xml:space="preserve"> включает только оценку рабочих характеристик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агара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с использованием диско-диффузионного метода, как описано в документах Института Клинических и Лабораторных Стандартов (CLSI)[5] и Европейского комитета по определению чувствительности к антимикробным препаратам  (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European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Committee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on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Antimicrobial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Susceptibility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="002510CF" w:rsidRPr="006D6392">
        <w:rPr>
          <w:rFonts w:ascii="Arial" w:hAnsi="Arial" w:cs="Arial"/>
          <w:color w:val="000000" w:themeColor="text1"/>
        </w:rPr>
        <w:t>Testing</w:t>
      </w:r>
      <w:proofErr w:type="spellEnd"/>
      <w:r w:rsidR="002510CF" w:rsidRPr="006D6392">
        <w:rPr>
          <w:rFonts w:ascii="Arial" w:hAnsi="Arial" w:cs="Arial"/>
          <w:color w:val="000000" w:themeColor="text1"/>
        </w:rPr>
        <w:t xml:space="preserve"> - EUCAST)[3]. </w:t>
      </w:r>
      <w:proofErr w:type="gramEnd"/>
    </w:p>
    <w:p w:rsidR="002510CF" w:rsidRPr="006D6392" w:rsidRDefault="002510CF" w:rsidP="004D5643">
      <w:pPr>
        <w:pStyle w:val="1"/>
        <w:spacing w:before="240" w:after="240"/>
        <w:ind w:firstLine="567"/>
        <w:rPr>
          <w:rFonts w:ascii="Arial" w:hAnsi="Arial" w:cs="Arial"/>
          <w:color w:val="000000" w:themeColor="text1"/>
        </w:rPr>
      </w:pPr>
      <w:bookmarkStart w:id="7" w:name="_Toc41224737"/>
      <w:r w:rsidRPr="006D6392">
        <w:rPr>
          <w:rFonts w:ascii="Arial" w:hAnsi="Arial" w:cs="Arial"/>
          <w:color w:val="000000" w:themeColor="text1"/>
        </w:rPr>
        <w:t>2 Нормативная ссылка</w:t>
      </w:r>
      <w:bookmarkEnd w:id="7"/>
      <w:r w:rsidRPr="006D6392">
        <w:rPr>
          <w:rFonts w:ascii="Arial" w:hAnsi="Arial" w:cs="Arial"/>
          <w:color w:val="000000" w:themeColor="text1"/>
        </w:rPr>
        <w:t xml:space="preserve">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Следующие документы, полностью или частично, являются нормативными ссылками в данном документе и обязательны для его применения.  Для датированных ссылок применимо только цитируемое издание. Для </w:t>
      </w:r>
      <w:r w:rsidRPr="006D6392">
        <w:rPr>
          <w:rFonts w:ascii="Arial" w:hAnsi="Arial" w:cs="Arial"/>
          <w:color w:val="000000" w:themeColor="text1"/>
        </w:rPr>
        <w:lastRenderedPageBreak/>
        <w:t xml:space="preserve">недатированных ссылок применимо последнее издание справочного документа (включая все изменения и дополнения).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ISO 20776-1:2006, Клинические лабораторные исследования и диагностические тест-системы </w:t>
      </w:r>
      <w:proofErr w:type="spellStart"/>
      <w:r w:rsidRPr="006D6392">
        <w:rPr>
          <w:rFonts w:ascii="Arial" w:hAnsi="Arial" w:cs="Arial"/>
          <w:color w:val="000000" w:themeColor="text1"/>
        </w:rPr>
        <w:t>in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vitro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— Исследование чувствительности возбудителей инфекции и оценка рабочих характеристик устрой</w:t>
      </w:r>
      <w:proofErr w:type="gramStart"/>
      <w:r w:rsidRPr="006D6392">
        <w:rPr>
          <w:rFonts w:ascii="Arial" w:hAnsi="Arial" w:cs="Arial"/>
          <w:color w:val="000000" w:themeColor="text1"/>
        </w:rPr>
        <w:t>ств дл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я определения чувствительности к антимикробным препаратам — Часть 1: </w:t>
      </w:r>
      <w:proofErr w:type="spellStart"/>
      <w:r w:rsidRPr="006D6392">
        <w:rPr>
          <w:rFonts w:ascii="Arial" w:hAnsi="Arial" w:cs="Arial"/>
          <w:color w:val="000000" w:themeColor="text1"/>
        </w:rPr>
        <w:t>Референсный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метод определения активности </w:t>
      </w:r>
      <w:proofErr w:type="spellStart"/>
      <w:r w:rsidRPr="006D6392">
        <w:rPr>
          <w:rFonts w:ascii="Arial" w:hAnsi="Arial" w:cs="Arial"/>
          <w:color w:val="000000" w:themeColor="text1"/>
        </w:rPr>
        <w:t>in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vitro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антимикробных агентов в отношении быстрорастущих аэробных бактерий, вызывающих инфекционные заболевания.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CLSI M100, Стандарты проведения оценки чувствительности к антимикробным препаратам; информационное приложение</w:t>
      </w:r>
    </w:p>
    <w:p w:rsidR="002510CF" w:rsidRPr="006D6392" w:rsidRDefault="002510CF" w:rsidP="004D5643">
      <w:pPr>
        <w:pStyle w:val="1"/>
        <w:spacing w:before="240" w:after="240"/>
        <w:ind w:firstLine="567"/>
        <w:rPr>
          <w:rFonts w:ascii="Arial" w:hAnsi="Arial" w:cs="Arial"/>
          <w:color w:val="000000" w:themeColor="text1"/>
        </w:rPr>
      </w:pPr>
      <w:bookmarkStart w:id="8" w:name="_Toc41224738"/>
      <w:r w:rsidRPr="006D6392">
        <w:rPr>
          <w:rFonts w:ascii="Arial" w:hAnsi="Arial" w:cs="Arial"/>
          <w:color w:val="000000" w:themeColor="text1"/>
        </w:rPr>
        <w:t>3 Термины и определения</w:t>
      </w:r>
      <w:bookmarkEnd w:id="8"/>
      <w:r w:rsidRPr="006D6392">
        <w:rPr>
          <w:rFonts w:ascii="Arial" w:hAnsi="Arial" w:cs="Arial"/>
          <w:color w:val="000000" w:themeColor="text1"/>
        </w:rPr>
        <w:t xml:space="preserve">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Для целей настоящего документа применяются следующие термины и определения.</w:t>
      </w:r>
    </w:p>
    <w:p w:rsidR="002510CF" w:rsidRPr="006D6392" w:rsidRDefault="002510CF" w:rsidP="004D5643">
      <w:pPr>
        <w:pStyle w:val="1"/>
        <w:spacing w:before="240" w:after="240"/>
        <w:ind w:firstLine="567"/>
        <w:rPr>
          <w:rFonts w:ascii="Arial" w:hAnsi="Arial" w:cs="Arial"/>
          <w:color w:val="000000" w:themeColor="text1"/>
          <w:sz w:val="24"/>
          <w:szCs w:val="24"/>
        </w:rPr>
      </w:pPr>
      <w:bookmarkStart w:id="9" w:name="_Toc41224739"/>
      <w:r w:rsidRPr="006D6392">
        <w:rPr>
          <w:rFonts w:ascii="Arial" w:hAnsi="Arial" w:cs="Arial"/>
          <w:color w:val="000000" w:themeColor="text1"/>
          <w:sz w:val="24"/>
          <w:szCs w:val="24"/>
        </w:rPr>
        <w:t>3.1 антимикробный агент</w:t>
      </w:r>
      <w:bookmarkEnd w:id="9"/>
      <w:r w:rsidRPr="006D6392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вещество биологического, полусинтетического или синтетического происхождения, которое ингибирует рост бактерий или убивает их и, таким образом, может быть использовано для лечения инфекций Примечание 1 к позиции: дезинфицирующие средства, антисептики и консерванты не включены в данное определение. </w:t>
      </w:r>
      <w:proofErr w:type="gramStart"/>
      <w:r w:rsidRPr="006D6392">
        <w:rPr>
          <w:rFonts w:ascii="Arial" w:hAnsi="Arial" w:cs="Arial"/>
          <w:color w:val="000000" w:themeColor="text1"/>
        </w:rPr>
        <w:t>[ИСТОЧНИК: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</w:t>
      </w:r>
      <w:proofErr w:type="gramStart"/>
      <w:r w:rsidRPr="006D6392">
        <w:rPr>
          <w:rFonts w:ascii="Arial" w:hAnsi="Arial" w:cs="Arial"/>
          <w:color w:val="000000" w:themeColor="text1"/>
        </w:rPr>
        <w:t>ISO 20776-1:2006, 2.1]</w:t>
      </w:r>
      <w:proofErr w:type="gramEnd"/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3.2 антимикробный диск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небольшой бумажный диск, содержащий известные количества антимикробных агентов, используемый для тестирования чувствительности </w:t>
      </w:r>
      <w:proofErr w:type="spellStart"/>
      <w:r w:rsidRPr="006D6392">
        <w:rPr>
          <w:rFonts w:ascii="Arial" w:hAnsi="Arial" w:cs="Arial"/>
          <w:color w:val="000000" w:themeColor="text1"/>
        </w:rPr>
        <w:t>in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vitro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3.3 концентрация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количество антимикробного агента в определенном объеме жидкости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Примечание 1 к позиции: концентрация выражается в мг/л.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Примечание 2 к позиции: мг/л = мкг/мл, но единицу измерения мкг/мл использовать не рекомендуется. </w:t>
      </w:r>
      <w:proofErr w:type="gramStart"/>
      <w:r w:rsidRPr="006D6392">
        <w:rPr>
          <w:rFonts w:ascii="Arial" w:hAnsi="Arial" w:cs="Arial"/>
          <w:color w:val="000000" w:themeColor="text1"/>
        </w:rPr>
        <w:t>[ИСТОЧНИК: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</w:t>
      </w:r>
      <w:proofErr w:type="gramStart"/>
      <w:r w:rsidRPr="006D6392">
        <w:rPr>
          <w:rFonts w:ascii="Arial" w:hAnsi="Arial" w:cs="Arial"/>
          <w:color w:val="000000" w:themeColor="text1"/>
        </w:rPr>
        <w:t xml:space="preserve">ISO 20776-1:2006, 2.2.2] </w:t>
      </w:r>
      <w:proofErr w:type="gramEnd"/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3.4 исходный раствор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proofErr w:type="gramStart"/>
      <w:r w:rsidRPr="006D6392">
        <w:rPr>
          <w:rFonts w:ascii="Arial" w:hAnsi="Arial" w:cs="Arial"/>
          <w:color w:val="000000" w:themeColor="text1"/>
        </w:rPr>
        <w:t>исходный раствор, используемый для дальнейших разведений [ИСТОЧНИК: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</w:t>
      </w:r>
      <w:proofErr w:type="gramStart"/>
      <w:r w:rsidRPr="006D6392">
        <w:rPr>
          <w:rFonts w:ascii="Arial" w:hAnsi="Arial" w:cs="Arial"/>
          <w:color w:val="000000" w:themeColor="text1"/>
        </w:rPr>
        <w:t xml:space="preserve">ISO 20776-1:2006, 2.3] </w:t>
      </w:r>
      <w:proofErr w:type="gramEnd"/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lastRenderedPageBreak/>
        <w:t xml:space="preserve">3.5 минимальная подавляющая концентрация МПК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самая низкая концентрация антимикробного агента, которая в определенных условиях предотвращает видимый рост бактерий </w:t>
      </w:r>
      <w:proofErr w:type="spellStart"/>
      <w:r w:rsidRPr="006D6392">
        <w:rPr>
          <w:rFonts w:ascii="Arial" w:hAnsi="Arial" w:cs="Arial"/>
          <w:color w:val="000000" w:themeColor="text1"/>
        </w:rPr>
        <w:t>in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vitro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в течение определенного периода времени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Примечание 1 к записи: МПК выражается в мг/л.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proofErr w:type="gramStart"/>
      <w:r w:rsidRPr="006D6392">
        <w:rPr>
          <w:rFonts w:ascii="Arial" w:hAnsi="Arial" w:cs="Arial"/>
          <w:color w:val="000000" w:themeColor="text1"/>
        </w:rPr>
        <w:t>[ИСТОЧНИК: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</w:t>
      </w:r>
      <w:proofErr w:type="gramStart"/>
      <w:r w:rsidRPr="006D6392">
        <w:rPr>
          <w:rFonts w:ascii="Arial" w:hAnsi="Arial" w:cs="Arial"/>
          <w:color w:val="000000" w:themeColor="text1"/>
        </w:rPr>
        <w:t xml:space="preserve">ISO 20776-1:2006, 2.4, изменено — “самая низкая концентрация, которая " было изменено на " самая низкая концентрация антимикробного агента, которая”] </w:t>
      </w:r>
      <w:proofErr w:type="gramEnd"/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>3.6</w:t>
      </w:r>
      <w:r w:rsidRPr="006D6392">
        <w:rPr>
          <w:rFonts w:ascii="Arial" w:hAnsi="Arial" w:cs="Arial"/>
          <w:color w:val="000000" w:themeColor="text1"/>
        </w:rPr>
        <w:t xml:space="preserve"> эталонный штамм каталогизированный, охарактеризованный микроорганизм со стабильным, определенным фенотипом и/или генотипом чувствительности к антимикробным препаратам</w:t>
      </w:r>
      <w:r w:rsidRPr="006D6392">
        <w:rPr>
          <w:rFonts w:ascii="Arial" w:hAnsi="Arial" w:cs="Arial"/>
          <w:color w:val="000000" w:themeColor="text1"/>
        </w:rPr>
        <w:br/>
        <w:t>Примечание 1 к позиции: эталонные штаммы хранятся в качестве исходных культур, из которых получают рабочие культуры. Они получены из признанных национальных коллекций культур и используются для контроля качества.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proofErr w:type="gramStart"/>
      <w:r w:rsidRPr="006D6392">
        <w:rPr>
          <w:rFonts w:ascii="Arial" w:hAnsi="Arial" w:cs="Arial"/>
          <w:color w:val="000000" w:themeColor="text1"/>
        </w:rPr>
        <w:t>[ИСТОЧНИК: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</w:t>
      </w:r>
      <w:proofErr w:type="gramStart"/>
      <w:r w:rsidRPr="006D6392">
        <w:rPr>
          <w:rFonts w:ascii="Arial" w:hAnsi="Arial" w:cs="Arial"/>
          <w:color w:val="000000" w:themeColor="text1"/>
        </w:rPr>
        <w:t>ISO 20776-1:2006, 2.7, изменено - “охарактеризованные бактерии " было изменено на “охарактеризованные микроорганизмы " и " коллекции культур” в Примечании 1 к позиции было изменено на "признанные национальные коллекции культур”]</w:t>
      </w:r>
      <w:proofErr w:type="gramEnd"/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3.7 Метод определения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антибиотикочувствительности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3.7.1 метод разведений в жидкой питательной среде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техника, при которой емкости заполняются соответствующими объемами среды, содержащей антимикробный препарат в постепенно возрастающих концентрациях (как правило, в два раза), и </w:t>
      </w:r>
      <w:proofErr w:type="gramStart"/>
      <w:r w:rsidRPr="006D6392">
        <w:rPr>
          <w:rFonts w:ascii="Arial" w:hAnsi="Arial" w:cs="Arial"/>
          <w:color w:val="000000" w:themeColor="text1"/>
        </w:rPr>
        <w:t>известным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инокулятом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.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Примечание 1 к определению: Целью этого метода является определение МПК.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proofErr w:type="gramStart"/>
      <w:r w:rsidRPr="006D6392">
        <w:rPr>
          <w:rFonts w:ascii="Arial" w:hAnsi="Arial" w:cs="Arial"/>
          <w:color w:val="000000" w:themeColor="text1"/>
        </w:rPr>
        <w:t xml:space="preserve">[ИСТОЧНИК: стандарт ISO 20776-1:2006, 2.8.1, модифицирован — формулировка «раствор антимикробного препарата, используемого в постепенно возрастающих концентрациях (как правило, в два раза) и соответствующие объемы среды, содержащие» была изменена на «среды, содержащей антимикробный препарат в постепенно возрастающих концентрациях (как правило, в два раза), и»] </w:t>
      </w:r>
      <w:proofErr w:type="gramEnd"/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>3.7.2</w:t>
      </w:r>
      <w:r w:rsidR="00A77ABF" w:rsidRPr="006D6392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микроразведение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lastRenderedPageBreak/>
        <w:t xml:space="preserve">выполнение разведения среды в планшетах для </w:t>
      </w:r>
      <w:proofErr w:type="spellStart"/>
      <w:r w:rsidRPr="006D6392">
        <w:rPr>
          <w:rFonts w:ascii="Arial" w:hAnsi="Arial" w:cs="Arial"/>
          <w:color w:val="000000" w:themeColor="text1"/>
        </w:rPr>
        <w:t>микроразведения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емкостью 200 </w:t>
      </w:r>
      <w:proofErr w:type="spellStart"/>
      <w:r w:rsidRPr="006D6392">
        <w:rPr>
          <w:rFonts w:ascii="Arial" w:hAnsi="Arial" w:cs="Arial"/>
          <w:color w:val="000000" w:themeColor="text1"/>
        </w:rPr>
        <w:t>мкл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на лунку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[ИСТОЧНИК: стандарт ISO 20776-1:2006, 2.8.2, модифицирован — фраза «емкость ≤200 </w:t>
      </w:r>
      <w:proofErr w:type="spellStart"/>
      <w:r w:rsidRPr="006D6392">
        <w:rPr>
          <w:rFonts w:ascii="Arial" w:hAnsi="Arial" w:cs="Arial"/>
          <w:color w:val="000000" w:themeColor="text1"/>
        </w:rPr>
        <w:t>мкл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на лунку» была изменена на «емкость 200 </w:t>
      </w:r>
      <w:proofErr w:type="spellStart"/>
      <w:r w:rsidRPr="006D6392">
        <w:rPr>
          <w:rFonts w:ascii="Arial" w:hAnsi="Arial" w:cs="Arial"/>
          <w:color w:val="000000" w:themeColor="text1"/>
        </w:rPr>
        <w:t>мкл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на лунку»] </w:t>
      </w:r>
    </w:p>
    <w:p w:rsidR="002510CF" w:rsidRPr="006D6392" w:rsidRDefault="00A77AB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3.7.3 </w:t>
      </w:r>
      <w:proofErr w:type="gramStart"/>
      <w:r w:rsidR="002510CF" w:rsidRPr="006D6392">
        <w:rPr>
          <w:rFonts w:ascii="Arial" w:hAnsi="Arial" w:cs="Arial"/>
          <w:b/>
          <w:color w:val="000000" w:themeColor="text1"/>
        </w:rPr>
        <w:t>диско-диффузионный</w:t>
      </w:r>
      <w:proofErr w:type="gramEnd"/>
      <w:r w:rsidR="002510CF" w:rsidRPr="006D6392">
        <w:rPr>
          <w:rFonts w:ascii="Arial" w:hAnsi="Arial" w:cs="Arial"/>
          <w:b/>
          <w:color w:val="000000" w:themeColor="text1"/>
        </w:rPr>
        <w:t xml:space="preserve"> метод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техника, при которой антимикробные диски наносят на поверхность предварительно равномерно засеянной </w:t>
      </w:r>
      <w:proofErr w:type="gramStart"/>
      <w:r w:rsidRPr="006D6392">
        <w:rPr>
          <w:rFonts w:ascii="Arial" w:hAnsi="Arial" w:cs="Arial"/>
          <w:color w:val="000000" w:themeColor="text1"/>
        </w:rPr>
        <w:t>известным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инокулятом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агаризованной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среды, после инкубации в определенных условиях формируется зона задержки роста микроорганизма, размер которой соответствует чувствительности / устойчивости микроорганизма к антимикробному агенту</w:t>
      </w:r>
    </w:p>
    <w:p w:rsidR="002510CF" w:rsidRPr="006D6392" w:rsidRDefault="00A77AB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3.7.4 </w:t>
      </w:r>
      <w:r w:rsidR="002510CF" w:rsidRPr="006D6392">
        <w:rPr>
          <w:rFonts w:ascii="Arial" w:hAnsi="Arial" w:cs="Arial"/>
          <w:b/>
          <w:color w:val="000000" w:themeColor="text1"/>
        </w:rPr>
        <w:t xml:space="preserve">диаметр зоны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диаметр (в мм) зоны ингибирования роста вокруг целлюлозного диска, содержащего антимикробный агент в определенном количестве, используемом в </w:t>
      </w:r>
      <w:proofErr w:type="gramStart"/>
      <w:r w:rsidRPr="006D6392">
        <w:rPr>
          <w:rFonts w:ascii="Arial" w:hAnsi="Arial" w:cs="Arial"/>
          <w:color w:val="000000" w:themeColor="text1"/>
        </w:rPr>
        <w:t>диско-диффузионном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тесте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>3.8 бульон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жидкая среда, используемая для выращивания бактерий </w:t>
      </w:r>
      <w:proofErr w:type="spellStart"/>
      <w:r w:rsidRPr="006D6392">
        <w:rPr>
          <w:rFonts w:ascii="Arial" w:hAnsi="Arial" w:cs="Arial"/>
          <w:color w:val="000000" w:themeColor="text1"/>
        </w:rPr>
        <w:t>in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vitro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[ИСТОЧНИК: стандарт ISO 20776-1:2006, 2.9, модифицирован — фраза «жидкая питательная среда» заменена </w:t>
      </w:r>
      <w:proofErr w:type="gramStart"/>
      <w:r w:rsidRPr="006D6392">
        <w:rPr>
          <w:rFonts w:ascii="Arial" w:hAnsi="Arial" w:cs="Arial"/>
          <w:color w:val="000000" w:themeColor="text1"/>
        </w:rPr>
        <w:t>на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«жидкая среда»]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3.9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инокулюм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количество жизнеспособных клеток в суспензии в расчете на конечный объем.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Примечание 1 к определению: </w:t>
      </w:r>
      <w:proofErr w:type="spellStart"/>
      <w:r w:rsidRPr="006D6392">
        <w:rPr>
          <w:rFonts w:ascii="Arial" w:hAnsi="Arial" w:cs="Arial"/>
          <w:color w:val="000000" w:themeColor="text1"/>
        </w:rPr>
        <w:t>Инокулюм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выражается в колониеобразующих единицах на миллилитр (КОЕ/мл). [ИСТОЧНИК: стандарт ISO 20776-1:2006, 2.10, модифицирован — фраза «количество бактерий» была заменена на «количество жизнеспособных клеток»]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>3.10</w:t>
      </w:r>
      <w:r w:rsidR="00A77ABF" w:rsidRPr="006D6392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дегидратированный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бульон </w:t>
      </w:r>
      <w:proofErr w:type="spellStart"/>
      <w:r w:rsidR="00063991">
        <w:rPr>
          <w:rFonts w:ascii="Arial" w:hAnsi="Arial" w:cs="Arial"/>
          <w:b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дБМХ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высушенная бактериологическая среда, используемая для приготовления жидкой среды для тестов на антимикробную чувствительность методом разведения в жидкой питательной среде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3.11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дегидратированный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агар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063991">
        <w:rPr>
          <w:rFonts w:ascii="Arial" w:hAnsi="Arial" w:cs="Arial"/>
          <w:b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дАМХ</w:t>
      </w:r>
      <w:proofErr w:type="spellEnd"/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lastRenderedPageBreak/>
        <w:t xml:space="preserve">высушенная бактериологическая среда, используемая для приготовления планшетов с </w:t>
      </w:r>
      <w:proofErr w:type="spellStart"/>
      <w:r w:rsidRPr="006D6392">
        <w:rPr>
          <w:rFonts w:ascii="Arial" w:hAnsi="Arial" w:cs="Arial"/>
          <w:color w:val="000000" w:themeColor="text1"/>
        </w:rPr>
        <w:t>агаром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для тестирования антимикробной чувствительности </w:t>
      </w:r>
      <w:proofErr w:type="gramStart"/>
      <w:r w:rsidRPr="006D6392">
        <w:rPr>
          <w:rFonts w:ascii="Arial" w:hAnsi="Arial" w:cs="Arial"/>
          <w:color w:val="000000" w:themeColor="text1"/>
        </w:rPr>
        <w:t>диско-диффузионным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методом, методом градиентной диффузии и определения МПК методом разведения в </w:t>
      </w:r>
      <w:proofErr w:type="spellStart"/>
      <w:r w:rsidRPr="006D6392">
        <w:rPr>
          <w:rFonts w:ascii="Arial" w:hAnsi="Arial" w:cs="Arial"/>
          <w:color w:val="000000" w:themeColor="text1"/>
        </w:rPr>
        <w:t>агаре</w:t>
      </w:r>
      <w:proofErr w:type="spellEnd"/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  <w:sz w:val="28"/>
          <w:szCs w:val="28"/>
        </w:rPr>
      </w:pPr>
      <w:r w:rsidRPr="006D6392">
        <w:rPr>
          <w:rFonts w:ascii="Arial" w:hAnsi="Arial" w:cs="Arial"/>
          <w:b/>
          <w:color w:val="000000" w:themeColor="text1"/>
          <w:sz w:val="28"/>
          <w:szCs w:val="28"/>
        </w:rPr>
        <w:t xml:space="preserve">4 Требования к бульону </w:t>
      </w:r>
      <w:proofErr w:type="spellStart"/>
      <w:r w:rsidR="00063991">
        <w:rPr>
          <w:rFonts w:ascii="Arial" w:hAnsi="Arial" w:cs="Arial"/>
          <w:b/>
          <w:color w:val="000000" w:themeColor="text1"/>
          <w:sz w:val="28"/>
          <w:szCs w:val="28"/>
        </w:rPr>
        <w:t>Mueller-Hinton</w:t>
      </w:r>
      <w:proofErr w:type="spellEnd"/>
      <w:r w:rsidRPr="006D6392">
        <w:rPr>
          <w:rFonts w:ascii="Arial" w:hAnsi="Arial" w:cs="Arial"/>
          <w:b/>
          <w:color w:val="000000" w:themeColor="text1"/>
          <w:sz w:val="28"/>
          <w:szCs w:val="28"/>
        </w:rPr>
        <w:t xml:space="preserve">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4.1 Компоненты бульона </w:t>
      </w:r>
      <w:proofErr w:type="spellStart"/>
      <w:r w:rsidR="00063991">
        <w:rPr>
          <w:rFonts w:ascii="Arial" w:hAnsi="Arial" w:cs="Arial"/>
          <w:b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Исторически, среда бульон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для тестирования антимикробной чувствительности содержит следующие приблизительные количества компонентов на литр очищенной воды (для соответствия критериям эффективности могут потребоваться корректировки)[7]: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— </w:t>
      </w:r>
      <w:proofErr w:type="spellStart"/>
      <w:r w:rsidRPr="006D6392">
        <w:rPr>
          <w:rFonts w:ascii="Arial" w:hAnsi="Arial" w:cs="Arial"/>
          <w:color w:val="000000" w:themeColor="text1"/>
        </w:rPr>
        <w:t>дегидратированный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настой из 300 г говядины (то есть 2 г порошка экстракта говядины);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— кислотный </w:t>
      </w:r>
      <w:proofErr w:type="spellStart"/>
      <w:r w:rsidRPr="006D6392">
        <w:rPr>
          <w:rFonts w:ascii="Arial" w:hAnsi="Arial" w:cs="Arial"/>
          <w:color w:val="000000" w:themeColor="text1"/>
        </w:rPr>
        <w:t>гидролизат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казеина 17,5 г;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— крахмал 1,5 г.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>4.2 Физические и химические свойства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4.2.1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Дегидратированный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порошок или гранулы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Цвет: от </w:t>
      </w:r>
      <w:proofErr w:type="gramStart"/>
      <w:r w:rsidRPr="006D6392">
        <w:rPr>
          <w:rFonts w:ascii="Arial" w:hAnsi="Arial" w:cs="Arial"/>
          <w:color w:val="000000" w:themeColor="text1"/>
        </w:rPr>
        <w:t>бежевого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до светло-бежевого.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proofErr w:type="gramStart"/>
      <w:r w:rsidRPr="006D6392">
        <w:rPr>
          <w:rFonts w:ascii="Arial" w:hAnsi="Arial" w:cs="Arial"/>
          <w:color w:val="000000" w:themeColor="text1"/>
        </w:rPr>
        <w:t>Однородный</w:t>
      </w:r>
      <w:proofErr w:type="gramEnd"/>
      <w:r w:rsidRPr="006D6392">
        <w:rPr>
          <w:rFonts w:ascii="Arial" w:hAnsi="Arial" w:cs="Arial"/>
          <w:color w:val="000000" w:themeColor="text1"/>
        </w:rPr>
        <w:t>, сыпучий, гомогенный и не содержит примесей.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4.2.2 Приготовление питательного бульона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После </w:t>
      </w:r>
      <w:proofErr w:type="spellStart"/>
      <w:r w:rsidRPr="006D6392">
        <w:rPr>
          <w:rFonts w:ascii="Arial" w:hAnsi="Arial" w:cs="Arial"/>
          <w:color w:val="000000" w:themeColor="text1"/>
        </w:rPr>
        <w:t>гидратирования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конечный </w:t>
      </w:r>
      <w:proofErr w:type="spellStart"/>
      <w:r w:rsidRPr="006D6392">
        <w:rPr>
          <w:rFonts w:ascii="Arial" w:hAnsi="Arial" w:cs="Arial"/>
          <w:color w:val="000000" w:themeColor="text1"/>
        </w:rPr>
        <w:t>pH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, измеренный после </w:t>
      </w:r>
      <w:proofErr w:type="spellStart"/>
      <w:r w:rsidRPr="006D6392">
        <w:rPr>
          <w:rFonts w:ascii="Arial" w:hAnsi="Arial" w:cs="Arial"/>
          <w:color w:val="000000" w:themeColor="text1"/>
        </w:rPr>
        <w:t>автоклавирования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, должен составлять 7,2-7,4 при 25 ° C.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Жидкость светло-соломенного цвета, прозрачная, без видимых </w:t>
      </w:r>
      <w:proofErr w:type="gramStart"/>
      <w:r w:rsidRPr="006D6392">
        <w:rPr>
          <w:rFonts w:ascii="Arial" w:hAnsi="Arial" w:cs="Arial"/>
          <w:color w:val="000000" w:themeColor="text1"/>
        </w:rPr>
        <w:t xml:space="preserve">ос </w:t>
      </w:r>
      <w:proofErr w:type="spellStart"/>
      <w:r w:rsidRPr="006D6392">
        <w:rPr>
          <w:rFonts w:ascii="Arial" w:hAnsi="Arial" w:cs="Arial"/>
          <w:color w:val="000000" w:themeColor="text1"/>
        </w:rPr>
        <w:t>адков</w:t>
      </w:r>
      <w:proofErr w:type="spellEnd"/>
      <w:proofErr w:type="gramEnd"/>
      <w:r w:rsidRPr="006D6392">
        <w:rPr>
          <w:rFonts w:ascii="Arial" w:hAnsi="Arial" w:cs="Arial"/>
          <w:color w:val="000000" w:themeColor="text1"/>
        </w:rPr>
        <w:t>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>4.2.3 Обогащение среды МХБ катионами и их содержание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Бульон должен содержать достаточную концентрацию двухвалентных катионов металлов, чтобы обеспечить адекватный рост микроорганизмов и позволить исследователю определять значения МПК (например, </w:t>
      </w:r>
      <w:proofErr w:type="spellStart"/>
      <w:r w:rsidRPr="006D6392">
        <w:rPr>
          <w:rFonts w:ascii="Arial" w:hAnsi="Arial" w:cs="Arial"/>
          <w:color w:val="000000" w:themeColor="text1"/>
        </w:rPr>
        <w:t>аминогликозидов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и </w:t>
      </w:r>
      <w:proofErr w:type="spellStart"/>
      <w:r w:rsidRPr="006D6392">
        <w:rPr>
          <w:rFonts w:ascii="Arial" w:hAnsi="Arial" w:cs="Arial"/>
          <w:color w:val="000000" w:themeColor="text1"/>
        </w:rPr>
        <w:t>хинолонов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) для контрольных штаммов, в пределах диапазонов, указанных в таблице 4 стандарта ISO 20776-1: 2006 (проверить контрольные диапазоны в последних версиях документов CLSI и EUCAST). Новые партии БМХ могут потребовать проведения тестирования на предмет приемлемого содержания катионов. Стандартные партии </w:t>
      </w:r>
      <w:proofErr w:type="spellStart"/>
      <w:r w:rsidRPr="006D6392">
        <w:rPr>
          <w:rFonts w:ascii="Arial" w:hAnsi="Arial" w:cs="Arial"/>
          <w:color w:val="000000" w:themeColor="text1"/>
        </w:rPr>
        <w:t>дБМХ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среды, приготовленные из </w:t>
      </w:r>
      <w:proofErr w:type="spellStart"/>
      <w:r w:rsidRPr="006D6392">
        <w:rPr>
          <w:rFonts w:ascii="Arial" w:hAnsi="Arial" w:cs="Arial"/>
          <w:color w:val="000000" w:themeColor="text1"/>
        </w:rPr>
        <w:lastRenderedPageBreak/>
        <w:t>дегидратированного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продукта, должны содержать не более 25 мг/л общего кальция и 12,5 мг/л общего магния. Производители могут отдать предпочтение в пользу производства коммерческих партий </w:t>
      </w:r>
      <w:proofErr w:type="spellStart"/>
      <w:r w:rsidRPr="006D6392">
        <w:rPr>
          <w:rFonts w:ascii="Arial" w:hAnsi="Arial" w:cs="Arial"/>
          <w:color w:val="000000" w:themeColor="text1"/>
        </w:rPr>
        <w:t>дБМХ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с необходимыми концентрациями катионов или фактическими уровнями менее 20 мг/л кальция и 10 мг/л магния. В последнем случае на итоговой этикетке указываются фактическое содержание катионов в партии бульона. </w:t>
      </w:r>
      <w:proofErr w:type="gramStart"/>
      <w:r w:rsidRPr="006D6392">
        <w:rPr>
          <w:rFonts w:ascii="Arial" w:hAnsi="Arial" w:cs="Arial"/>
          <w:color w:val="000000" w:themeColor="text1"/>
        </w:rPr>
        <w:t xml:space="preserve">При окончательном тестировании приготовленный БМХ должен содержать от 20 мг/л до 25 мг/л Ca2+ и от 10 мг/л до 12,5 мг/л Mg2+. Хотя содержание марганца в следовых количествах требуется для роста, концентрация ионов марганца должна составлять ниже 8 мг/л, чтобы избежать ложных интерпретаций резистентности к </w:t>
      </w:r>
      <w:proofErr w:type="spellStart"/>
      <w:r w:rsidRPr="006D6392">
        <w:rPr>
          <w:rFonts w:ascii="Arial" w:hAnsi="Arial" w:cs="Arial"/>
          <w:color w:val="000000" w:themeColor="text1"/>
        </w:rPr>
        <w:t>глицилциклинам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[8].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Результат должен быть </w:t>
      </w:r>
      <w:proofErr w:type="spellStart"/>
      <w:r w:rsidRPr="006D6392">
        <w:rPr>
          <w:rFonts w:ascii="Arial" w:hAnsi="Arial" w:cs="Arial"/>
          <w:color w:val="000000" w:themeColor="text1"/>
        </w:rPr>
        <w:t>валидирован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по значению МПК </w:t>
      </w:r>
      <w:proofErr w:type="spellStart"/>
      <w:r w:rsidRPr="006D6392">
        <w:rPr>
          <w:rFonts w:ascii="Arial" w:hAnsi="Arial" w:cs="Arial"/>
          <w:color w:val="000000" w:themeColor="text1"/>
        </w:rPr>
        <w:t>тигециклина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, соответствующему допустимому диапазону, при тестировании контрольного штамма </w:t>
      </w:r>
      <w:proofErr w:type="spellStart"/>
      <w:r w:rsidRPr="006D6392">
        <w:rPr>
          <w:rFonts w:ascii="Arial" w:hAnsi="Arial" w:cs="Arial"/>
          <w:color w:val="000000" w:themeColor="text1"/>
        </w:rPr>
        <w:t>Escherichia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coli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WDCM 00013. Хотя для роста микроорганизмов необходимы следовые количества цинка, концентрация цинка должна быть ниже 3 мг/л, чтобы избежать ложных интерпретаций резистентности к </w:t>
      </w:r>
      <w:proofErr w:type="spellStart"/>
      <w:r w:rsidRPr="006D6392">
        <w:rPr>
          <w:rFonts w:ascii="Arial" w:hAnsi="Arial" w:cs="Arial"/>
          <w:color w:val="000000" w:themeColor="text1"/>
        </w:rPr>
        <w:t>имипенему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[9] и, потенциально, к другим </w:t>
      </w:r>
      <w:proofErr w:type="spellStart"/>
      <w:r w:rsidRPr="006D6392">
        <w:rPr>
          <w:rFonts w:ascii="Arial" w:hAnsi="Arial" w:cs="Arial"/>
          <w:color w:val="000000" w:themeColor="text1"/>
        </w:rPr>
        <w:t>карбапенемам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. Результат должен быть </w:t>
      </w:r>
      <w:proofErr w:type="spellStart"/>
      <w:r w:rsidRPr="006D6392">
        <w:rPr>
          <w:rFonts w:ascii="Arial" w:hAnsi="Arial" w:cs="Arial"/>
          <w:color w:val="000000" w:themeColor="text1"/>
        </w:rPr>
        <w:t>валидирован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по значению МПК </w:t>
      </w:r>
      <w:proofErr w:type="spellStart"/>
      <w:r w:rsidRPr="006D6392">
        <w:rPr>
          <w:rFonts w:ascii="Arial" w:hAnsi="Arial" w:cs="Arial"/>
          <w:color w:val="000000" w:themeColor="text1"/>
        </w:rPr>
        <w:t>имипенема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, соответствующему допустимому диапазону, при тестировании контрольного штамма </w:t>
      </w:r>
      <w:proofErr w:type="spellStart"/>
      <w:r w:rsidRPr="006D6392">
        <w:rPr>
          <w:rFonts w:ascii="Arial" w:hAnsi="Arial" w:cs="Arial"/>
          <w:color w:val="000000" w:themeColor="text1"/>
        </w:rPr>
        <w:t>Pseudomonas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aeruginosa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WDCM 00025. Концентрации катионов кальция, магния, марганца и цинка следует определять с помощью масс-спектрометрии с индуктивно-связанной плазмой (</w:t>
      </w:r>
      <w:proofErr w:type="gramStart"/>
      <w:r w:rsidRPr="006D6392">
        <w:rPr>
          <w:rFonts w:ascii="Arial" w:hAnsi="Arial" w:cs="Arial"/>
          <w:color w:val="000000" w:themeColor="text1"/>
        </w:rPr>
        <w:t>ИСП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МС) или пламенной атомно-абсорбционной спектроскопии (ПААС)[10]. Хотя эффекты ионов, влияющих на результаты тестов на </w:t>
      </w:r>
      <w:proofErr w:type="spellStart"/>
      <w:r w:rsidRPr="006D6392">
        <w:rPr>
          <w:rFonts w:ascii="Arial" w:hAnsi="Arial" w:cs="Arial"/>
          <w:color w:val="000000" w:themeColor="text1"/>
        </w:rPr>
        <w:t>антибиотикочувствительность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к другим антимикробным агентам, не включены в настоящ</w:t>
      </w:r>
      <w:r w:rsidR="00C70B0F">
        <w:rPr>
          <w:rFonts w:ascii="Arial" w:hAnsi="Arial" w:cs="Arial"/>
          <w:color w:val="000000" w:themeColor="text1"/>
        </w:rPr>
        <w:t>ий стандарт</w:t>
      </w:r>
      <w:r w:rsidRPr="006D6392">
        <w:rPr>
          <w:rFonts w:ascii="Arial" w:hAnsi="Arial" w:cs="Arial"/>
          <w:color w:val="000000" w:themeColor="text1"/>
        </w:rPr>
        <w:t xml:space="preserve">, они должны учитываться производителями при исследовании </w:t>
      </w:r>
      <w:proofErr w:type="spellStart"/>
      <w:r w:rsidRPr="006D6392">
        <w:rPr>
          <w:rFonts w:ascii="Arial" w:hAnsi="Arial" w:cs="Arial"/>
          <w:color w:val="000000" w:themeColor="text1"/>
        </w:rPr>
        <w:t>антибиотикочувствительности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методом серийных разведений в БМХ. К задействованным антимикробным агентам относятся </w:t>
      </w:r>
      <w:proofErr w:type="spellStart"/>
      <w:r w:rsidRPr="006D6392">
        <w:rPr>
          <w:rFonts w:ascii="Arial" w:hAnsi="Arial" w:cs="Arial"/>
          <w:color w:val="000000" w:themeColor="text1"/>
        </w:rPr>
        <w:t>даптомицин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[11] и </w:t>
      </w:r>
      <w:proofErr w:type="spellStart"/>
      <w:r w:rsidRPr="006D6392">
        <w:rPr>
          <w:rFonts w:ascii="Arial" w:hAnsi="Arial" w:cs="Arial"/>
          <w:color w:val="000000" w:themeColor="text1"/>
        </w:rPr>
        <w:t>полимиксин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[12]. При тестировании </w:t>
      </w:r>
      <w:proofErr w:type="spellStart"/>
      <w:r w:rsidRPr="006D6392">
        <w:rPr>
          <w:rFonts w:ascii="Arial" w:hAnsi="Arial" w:cs="Arial"/>
          <w:color w:val="000000" w:themeColor="text1"/>
        </w:rPr>
        <w:t>даптомицина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БМХ должен быть дополнен ионами общего Ca2+ до конечной концентрации 50 мг/л. Обратитесь к стандарту ISO 20776-1 за соответствующими инструкциями по приготовлению среды и тестированию на </w:t>
      </w:r>
      <w:proofErr w:type="spellStart"/>
      <w:r w:rsidRPr="006D6392">
        <w:rPr>
          <w:rFonts w:ascii="Arial" w:hAnsi="Arial" w:cs="Arial"/>
          <w:color w:val="000000" w:themeColor="text1"/>
        </w:rPr>
        <w:t>антибиотикочувствительность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.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>4.2.4 Другие компоненты среды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Среда должна иметь массовую концентрацию </w:t>
      </w:r>
      <w:proofErr w:type="spellStart"/>
      <w:r w:rsidRPr="006D6392">
        <w:rPr>
          <w:rFonts w:ascii="Arial" w:hAnsi="Arial" w:cs="Arial"/>
          <w:color w:val="000000" w:themeColor="text1"/>
        </w:rPr>
        <w:t>тимидина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менее 0,03 мг/л, для обеспечения получения валидного результата МПК </w:t>
      </w:r>
      <w:proofErr w:type="spellStart"/>
      <w:r w:rsidRPr="006D6392">
        <w:rPr>
          <w:rFonts w:ascii="Arial" w:hAnsi="Arial" w:cs="Arial"/>
          <w:color w:val="000000" w:themeColor="text1"/>
        </w:rPr>
        <w:t>триметопримсульфаметоксазола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≤0,5 / 9,5 мг/л при тестировании контрольного штамма </w:t>
      </w:r>
      <w:proofErr w:type="spellStart"/>
      <w:r w:rsidRPr="006D6392">
        <w:rPr>
          <w:rFonts w:ascii="Arial" w:hAnsi="Arial" w:cs="Arial"/>
          <w:color w:val="000000" w:themeColor="text1"/>
        </w:rPr>
        <w:t>Enterococcus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faecalis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WDCM 00087.[13].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lastRenderedPageBreak/>
        <w:t>4.2.5 Специфические корректировки, требуемые производителем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Для антимикробных агентов, включенных в Таблицу 1: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a) включение хлорида натрия (2% м/об </w:t>
      </w:r>
      <w:proofErr w:type="spellStart"/>
      <w:r w:rsidRPr="006D6392">
        <w:rPr>
          <w:rFonts w:ascii="Arial" w:hAnsi="Arial" w:cs="Arial"/>
          <w:color w:val="000000" w:themeColor="text1"/>
        </w:rPr>
        <w:t>NaCl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) в конечной концентрации 20 г/л в бульон необходимо для выявления устойчивости к </w:t>
      </w:r>
      <w:proofErr w:type="spellStart"/>
      <w:r w:rsidRPr="006D6392">
        <w:rPr>
          <w:rFonts w:ascii="Arial" w:hAnsi="Arial" w:cs="Arial"/>
          <w:color w:val="000000" w:themeColor="text1"/>
        </w:rPr>
        <w:t>метициллину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у </w:t>
      </w:r>
      <w:proofErr w:type="spellStart"/>
      <w:r w:rsidRPr="006D6392">
        <w:rPr>
          <w:rFonts w:ascii="Arial" w:hAnsi="Arial" w:cs="Arial"/>
          <w:color w:val="000000" w:themeColor="text1"/>
        </w:rPr>
        <w:t>Staphylococcus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spp</w:t>
      </w:r>
      <w:proofErr w:type="spellEnd"/>
      <w:r w:rsidRPr="006D6392">
        <w:rPr>
          <w:rFonts w:ascii="Arial" w:hAnsi="Arial" w:cs="Arial"/>
          <w:color w:val="000000" w:themeColor="text1"/>
        </w:rPr>
        <w:t>. при исследовании с оксациллином;</w:t>
      </w:r>
      <w:r w:rsidRPr="006D6392">
        <w:rPr>
          <w:rFonts w:ascii="Arial" w:hAnsi="Arial" w:cs="Arial"/>
          <w:color w:val="000000" w:themeColor="text1"/>
        </w:rPr>
        <w:br/>
        <w:t xml:space="preserve">b) при исследовании </w:t>
      </w:r>
      <w:proofErr w:type="spellStart"/>
      <w:r w:rsidRPr="006D6392">
        <w:rPr>
          <w:rFonts w:ascii="Arial" w:hAnsi="Arial" w:cs="Arial"/>
          <w:color w:val="000000" w:themeColor="text1"/>
        </w:rPr>
        <w:t>тигециклина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методом </w:t>
      </w:r>
      <w:proofErr w:type="spellStart"/>
      <w:r w:rsidRPr="006D6392">
        <w:rPr>
          <w:rFonts w:ascii="Arial" w:hAnsi="Arial" w:cs="Arial"/>
          <w:color w:val="000000" w:themeColor="text1"/>
        </w:rPr>
        <w:t>микроразведений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в бульоне, с приготовлением панелей МПК, необходимо использовать свежеприготовленную среду в день использования. Среда должна быть приготовлена не ранее 12 часов до момента подготовки панелей; тем не менее, панели могут быть заморожены для последующего использования. Для получения дополнительной информации обратитесь к стандарту ISO 20776-1.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Производители могут выбрать для тестирования дополнительные антимикробные агенты и штаммы, а также среду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, дополненную для роста привередливых штаммов. Ожидаемые характеристики должны быть </w:t>
      </w:r>
      <w:proofErr w:type="spellStart"/>
      <w:r w:rsidRPr="006D6392">
        <w:rPr>
          <w:rFonts w:ascii="Arial" w:hAnsi="Arial" w:cs="Arial"/>
          <w:color w:val="000000" w:themeColor="text1"/>
        </w:rPr>
        <w:t>валидированы</w:t>
      </w:r>
      <w:proofErr w:type="spellEnd"/>
      <w:r w:rsidRPr="006D6392">
        <w:rPr>
          <w:rFonts w:ascii="Arial" w:hAnsi="Arial" w:cs="Arial"/>
          <w:color w:val="000000" w:themeColor="text1"/>
        </w:rPr>
        <w:t>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Для микроорганизмов, не включенных в Таблицу 1 (например, для расширенного тестирования по усмотрению производителя):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c) исследование привередливых организмов, таких как стрептококки и </w:t>
      </w:r>
      <w:proofErr w:type="spellStart"/>
      <w:r w:rsidRPr="006D6392">
        <w:rPr>
          <w:rFonts w:ascii="Arial" w:hAnsi="Arial" w:cs="Arial"/>
          <w:color w:val="000000" w:themeColor="text1"/>
        </w:rPr>
        <w:t>Haemophilus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spp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. требует добавления ростовых добавок (например, крови или компонентов крови). Если партия </w:t>
      </w:r>
      <w:proofErr w:type="spellStart"/>
      <w:r w:rsidRPr="006D6392">
        <w:rPr>
          <w:rFonts w:ascii="Arial" w:hAnsi="Arial" w:cs="Arial"/>
          <w:color w:val="000000" w:themeColor="text1"/>
        </w:rPr>
        <w:t>агара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или бульона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, прошедшие </w:t>
      </w:r>
      <w:proofErr w:type="spellStart"/>
      <w:r w:rsidRPr="006D6392">
        <w:rPr>
          <w:rFonts w:ascii="Arial" w:hAnsi="Arial" w:cs="Arial"/>
          <w:color w:val="000000" w:themeColor="text1"/>
        </w:rPr>
        <w:t>валидацию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в соответствии с критериями, приведенными в настояще</w:t>
      </w:r>
      <w:r w:rsidR="00C70B0F">
        <w:rPr>
          <w:rFonts w:ascii="Arial" w:hAnsi="Arial" w:cs="Arial"/>
          <w:color w:val="000000" w:themeColor="text1"/>
        </w:rPr>
        <w:t>м</w:t>
      </w:r>
      <w:r w:rsidRPr="006D6392">
        <w:rPr>
          <w:rFonts w:ascii="Arial" w:hAnsi="Arial" w:cs="Arial"/>
          <w:color w:val="000000" w:themeColor="text1"/>
        </w:rPr>
        <w:t xml:space="preserve"> </w:t>
      </w:r>
      <w:r w:rsidR="00C70B0F">
        <w:rPr>
          <w:rFonts w:ascii="Arial" w:hAnsi="Arial" w:cs="Arial"/>
          <w:color w:val="000000" w:themeColor="text1"/>
        </w:rPr>
        <w:t>стандарте</w:t>
      </w:r>
      <w:r w:rsidRPr="006D6392">
        <w:rPr>
          <w:rFonts w:ascii="Arial" w:hAnsi="Arial" w:cs="Arial"/>
          <w:color w:val="000000" w:themeColor="text1"/>
        </w:rPr>
        <w:t>, должны использоваться для тестирования привередливых микроорганизмов, то, после добавления дополнительных компонентов, полученные значения МПК или диаметры зон должны попадать в приемлемые диапазоны МПК, опубликованные в 20776-1 для конкретной среды и тестируемого микроорганизма.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br/>
        <w:t>Краткое описание конкретных эффектов на антимикробные агенты см. в Приложении A.1.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4.3 Производственный протокол для тестирования производственных партий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дегидратированного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бульона </w:t>
      </w:r>
      <w:proofErr w:type="spellStart"/>
      <w:r w:rsidR="00063991">
        <w:rPr>
          <w:rFonts w:ascii="Arial" w:hAnsi="Arial" w:cs="Arial"/>
          <w:b/>
          <w:color w:val="000000" w:themeColor="text1"/>
        </w:rPr>
        <w:t>Mueller-Hinton</w:t>
      </w:r>
      <w:proofErr w:type="spellEnd"/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Протоколы подготовки исследований методом серийных разведений описаны в ISO 20776-1. Выполнение этих протоколов следует осуществлять со следующими ограничениями (поправками), которые перечислены ниже.</w:t>
      </w:r>
    </w:p>
    <w:p w:rsidR="002510CF" w:rsidRPr="006D6392" w:rsidRDefault="002510CF" w:rsidP="004D5643">
      <w:pPr>
        <w:numPr>
          <w:ilvl w:val="0"/>
          <w:numId w:val="7"/>
        </w:numPr>
        <w:tabs>
          <w:tab w:val="left" w:pos="993"/>
        </w:tabs>
        <w:suppressAutoHyphens w:val="0"/>
        <w:spacing w:before="120" w:after="120" w:line="360" w:lineRule="auto"/>
        <w:ind w:left="0" w:firstLine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6D6392">
        <w:rPr>
          <w:rFonts w:ascii="Arial" w:eastAsiaTheme="minorHAnsi" w:hAnsi="Arial" w:cs="Arial"/>
          <w:color w:val="000000" w:themeColor="text1"/>
          <w:lang w:eastAsia="en-US"/>
        </w:rPr>
        <w:lastRenderedPageBreak/>
        <w:t>Необходимо использовать как минимум две дополнительные точки двукратных разведений для минимальной и максимальной границы концентраций используемого контрольного штамма для каждого тестируемого антибактериального агента в каждой серии тестов.</w:t>
      </w:r>
    </w:p>
    <w:p w:rsidR="002510CF" w:rsidRPr="006D6392" w:rsidRDefault="002510CF" w:rsidP="004D5643">
      <w:pPr>
        <w:numPr>
          <w:ilvl w:val="0"/>
          <w:numId w:val="7"/>
        </w:numPr>
        <w:tabs>
          <w:tab w:val="left" w:pos="993"/>
        </w:tabs>
        <w:suppressAutoHyphens w:val="0"/>
        <w:spacing w:before="120" w:after="120" w:line="360" w:lineRule="auto"/>
        <w:ind w:left="0" w:firstLine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Необходимо, как минимум, протестировать один микробный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инокулят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в трех отдельных тестах для каждой из комбинаций микроорганизм-антимикробный препарат, перечисленных в 4.4. Этот список комбинаций микроорганизм-антимикробный агент представляет минимальные требования для тестирования, и включает антибактериальные агенты, использование которых способно детектировать определенные проблемы со средой. Другие антимикробные агенты могут быть испытаны по усмотрению производителя и по мере необходимости для проверки стабильности среды. Свойства среды должны соответствовать тестируемым антимикробным агентам.</w:t>
      </w:r>
    </w:p>
    <w:p w:rsidR="002510CF" w:rsidRPr="006D6392" w:rsidRDefault="002510CF" w:rsidP="004D5643">
      <w:pPr>
        <w:numPr>
          <w:ilvl w:val="0"/>
          <w:numId w:val="7"/>
        </w:numPr>
        <w:tabs>
          <w:tab w:val="left" w:pos="993"/>
        </w:tabs>
        <w:suppressAutoHyphens w:val="0"/>
        <w:spacing w:before="120" w:after="120" w:line="360" w:lineRule="auto"/>
        <w:ind w:left="0" w:firstLine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См. ISO 20776-1, CLSI [6] или EUCAST [4] для получения подробной информации о контрольных штаммах. Как минимум, за два дня до тестирования, разморозьте все флаконы с культурами контрольных штаммов, которые потребуются для тестирования (см. 4.4).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Инокулируйте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каждую культуру на чашку Петри с неселективной питательной агаровой средой и инкубируйте ее в течение 18–24 ч при температуре от 34 до 37 °С в обычной атмосфере согласно ISO 20776-1.  После инкубации проверьте культуру на чистоту. За день до проведения теста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антибиотикочувствительности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, контрольные штаммы снова пересевают, для получения свежих (суточных) колоний для приготовления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инокулята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>. Все микроорганизмы должны быть пересеяны как минимум дважды из замороженного состояния перед использованием для тестирования.</w:t>
      </w:r>
    </w:p>
    <w:p w:rsidR="002510CF" w:rsidRPr="006D6392" w:rsidRDefault="002510CF" w:rsidP="004D5643">
      <w:pPr>
        <w:numPr>
          <w:ilvl w:val="0"/>
          <w:numId w:val="7"/>
        </w:numPr>
        <w:tabs>
          <w:tab w:val="left" w:pos="993"/>
        </w:tabs>
        <w:suppressAutoHyphens w:val="0"/>
        <w:spacing w:before="120" w:after="120" w:line="360" w:lineRule="auto"/>
        <w:ind w:left="0" w:firstLine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6D6392">
        <w:rPr>
          <w:rFonts w:ascii="Arial" w:eastAsiaTheme="minorHAnsi" w:hAnsi="Arial" w:cs="Arial"/>
          <w:color w:val="000000" w:themeColor="text1"/>
          <w:lang w:eastAsia="en-US"/>
        </w:rPr>
        <w:t>При использовании замороженных планшетов с антибиотиком, перед их использованием, планшеты следует полностью разморозить при комнатной температуре (обычно это занимает от 1 до 2 часов). Планшеты с антибиотиками должны использоваться в тот же день, когда они были разморожены.</w:t>
      </w:r>
    </w:p>
    <w:p w:rsidR="002510CF" w:rsidRPr="006D6392" w:rsidRDefault="002510CF" w:rsidP="004D5643">
      <w:pPr>
        <w:numPr>
          <w:ilvl w:val="0"/>
          <w:numId w:val="7"/>
        </w:numPr>
        <w:tabs>
          <w:tab w:val="left" w:pos="993"/>
        </w:tabs>
        <w:suppressAutoHyphens w:val="0"/>
        <w:spacing w:before="120" w:after="120" w:line="360" w:lineRule="auto"/>
        <w:ind w:left="0" w:firstLine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Тесты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антибиотикочувствительности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должны осуществляться в соответствии с ISO 20776-1.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Инокулят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каждого контрольного штамма должен быть подготовлен с приготовлением суспензии из одной колонии.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Инокулированные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планшеты с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микроразведениями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должны быть инкубированы в течение 16-20 часов (24 часа для оксациллина с золотистым стафилококком), результаты </w:t>
      </w:r>
      <w:r w:rsidRPr="006D6392">
        <w:rPr>
          <w:rFonts w:ascii="Arial" w:eastAsiaTheme="minorHAnsi" w:hAnsi="Arial" w:cs="Arial"/>
          <w:color w:val="000000" w:themeColor="text1"/>
          <w:lang w:eastAsia="en-US"/>
        </w:rPr>
        <w:lastRenderedPageBreak/>
        <w:t>должны быть учтены в течение одного часа после извлечения планшет из термостата.</w:t>
      </w:r>
    </w:p>
    <w:p w:rsidR="002510CF" w:rsidRPr="006D6392" w:rsidRDefault="002510CF" w:rsidP="004D5643">
      <w:pPr>
        <w:numPr>
          <w:ilvl w:val="0"/>
          <w:numId w:val="7"/>
        </w:numPr>
        <w:tabs>
          <w:tab w:val="left" w:pos="993"/>
        </w:tabs>
        <w:suppressAutoHyphens w:val="0"/>
        <w:spacing w:before="120" w:after="120" w:line="360" w:lineRule="auto"/>
        <w:ind w:left="0" w:firstLine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Результаты оценки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антибиотикочувствительности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должны регистрироваться и храниться в соответствии с регламентом, используемым производителем в отношении внутреннего документооборота. Пример оценки результатов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антибиотикочувствительности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приведен в Приложении С.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4.4. Интерпретация результатов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Пограничные значения МПК в таблице 1, представлены с разрешения CLSI[14] и EUCAST [http://www.eucast.org/ast_of_bacteria/qc_tables/][15].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Пограничные значения периодически пересматриваются и обновляются. В этой связи необходимо использовать пограничные значения последних версий EUCAST [14]. Необходимо проверять таблицы на предмет возможных изменений. Альтернативные номера контрольных микроорганизмов из различных коллекций культур приведены в приложении</w:t>
      </w:r>
      <w:proofErr w:type="gramStart"/>
      <w:r w:rsidRPr="006D6392">
        <w:rPr>
          <w:rFonts w:ascii="Arial" w:hAnsi="Arial" w:cs="Arial"/>
          <w:color w:val="000000" w:themeColor="text1"/>
        </w:rPr>
        <w:t xml:space="preserve"> В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(</w:t>
      </w:r>
      <w:proofErr w:type="spellStart"/>
      <w:r w:rsidRPr="006D6392">
        <w:rPr>
          <w:rFonts w:ascii="Arial" w:hAnsi="Arial" w:cs="Arial"/>
          <w:color w:val="000000" w:themeColor="text1"/>
        </w:rPr>
        <w:t>Annex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B)</w:t>
      </w:r>
    </w:p>
    <w:p w:rsidR="002510CF" w:rsidRPr="004D5643" w:rsidRDefault="002510CF" w:rsidP="004D5643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D5643">
        <w:rPr>
          <w:rFonts w:ascii="Arial" w:hAnsi="Arial" w:cs="Arial"/>
          <w:color w:val="000000" w:themeColor="text1"/>
          <w:sz w:val="22"/>
          <w:szCs w:val="22"/>
        </w:rPr>
        <w:t xml:space="preserve">Таблица 1. Пограничные значения МПК (мг/л) для контрольных штаммов     </w:t>
      </w:r>
    </w:p>
    <w:p w:rsidR="002510CF" w:rsidRPr="004D5643" w:rsidRDefault="002510CF" w:rsidP="004D5643">
      <w:pPr>
        <w:spacing w:line="276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4D5643">
        <w:rPr>
          <w:rFonts w:ascii="Arial" w:hAnsi="Arial" w:cs="Arial"/>
          <w:color w:val="000000" w:themeColor="text1"/>
          <w:sz w:val="22"/>
          <w:szCs w:val="22"/>
        </w:rPr>
        <w:t>Допустимые пограничные значения МПК (мг/л) антибактериальных агентов для контрольных штаммов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510CF" w:rsidRPr="004D5643" w:rsidTr="002510CF"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Контрольный штамм</w:t>
            </w: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Антимикробный агент</w:t>
            </w: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Допустимый диапазон</w:t>
            </w:r>
          </w:p>
        </w:tc>
      </w:tr>
      <w:tr w:rsidR="002510CF" w:rsidRPr="004D5643" w:rsidTr="002510CF">
        <w:trPr>
          <w:trHeight w:val="177"/>
        </w:trPr>
        <w:tc>
          <w:tcPr>
            <w:tcW w:w="3115" w:type="dxa"/>
            <w:vMerge w:val="restart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Pseudomonas</w:t>
            </w:r>
            <w:proofErr w:type="spell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aeruginosa</w:t>
            </w:r>
            <w:proofErr w:type="spell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WDCM 00025</w:t>
            </w: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Ципрофлоксацин</w:t>
            </w:r>
            <w:proofErr w:type="spellEnd"/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0,25–1</w:t>
            </w:r>
          </w:p>
        </w:tc>
      </w:tr>
      <w:tr w:rsidR="002510CF" w:rsidRPr="004D5643" w:rsidTr="002510CF">
        <w:trPr>
          <w:trHeight w:val="176"/>
        </w:trPr>
        <w:tc>
          <w:tcPr>
            <w:tcW w:w="3115" w:type="dxa"/>
            <w:vMerge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Гентамицин</w:t>
            </w: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0,5–2</w:t>
            </w:r>
          </w:p>
        </w:tc>
      </w:tr>
      <w:tr w:rsidR="002510CF" w:rsidRPr="004D5643" w:rsidTr="002510CF">
        <w:trPr>
          <w:trHeight w:val="176"/>
        </w:trPr>
        <w:tc>
          <w:tcPr>
            <w:tcW w:w="3115" w:type="dxa"/>
            <w:vMerge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Имипенем</w:t>
            </w:r>
            <w:proofErr w:type="spellEnd"/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1–4</w:t>
            </w:r>
          </w:p>
        </w:tc>
      </w:tr>
      <w:tr w:rsidR="002510CF" w:rsidRPr="004D5643" w:rsidTr="002510CF">
        <w:trPr>
          <w:trHeight w:val="176"/>
        </w:trPr>
        <w:tc>
          <w:tcPr>
            <w:tcW w:w="3115" w:type="dxa"/>
            <w:vMerge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Пиперациллин-тазобактам</w:t>
            </w:r>
            <w:proofErr w:type="spellEnd"/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1/4–8/4</w:t>
            </w:r>
          </w:p>
        </w:tc>
      </w:tr>
      <w:tr w:rsidR="002510CF" w:rsidRPr="004D5643" w:rsidTr="002510CF">
        <w:trPr>
          <w:trHeight w:val="155"/>
        </w:trPr>
        <w:tc>
          <w:tcPr>
            <w:tcW w:w="3115" w:type="dxa"/>
            <w:vMerge w:val="restart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Escherichia</w:t>
            </w:r>
            <w:proofErr w:type="spell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coli</w:t>
            </w:r>
            <w:proofErr w:type="spell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WDCM 00013</w:t>
            </w: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Ампициллин</w:t>
            </w: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2–8</w:t>
            </w:r>
          </w:p>
        </w:tc>
      </w:tr>
      <w:tr w:rsidR="002510CF" w:rsidRPr="004D5643" w:rsidTr="002510CF">
        <w:trPr>
          <w:trHeight w:val="155"/>
        </w:trPr>
        <w:tc>
          <w:tcPr>
            <w:tcW w:w="3115" w:type="dxa"/>
            <w:vMerge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Цефотаксим</w:t>
            </w:r>
            <w:proofErr w:type="spellEnd"/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0,03–0,12</w:t>
            </w:r>
          </w:p>
        </w:tc>
      </w:tr>
      <w:tr w:rsidR="002510CF" w:rsidRPr="004D5643" w:rsidTr="002510CF">
        <w:trPr>
          <w:trHeight w:val="155"/>
        </w:trPr>
        <w:tc>
          <w:tcPr>
            <w:tcW w:w="3115" w:type="dxa"/>
            <w:vMerge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Тигециклин</w:t>
            </w:r>
            <w:proofErr w:type="spellEnd"/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0,03–0,25</w:t>
            </w:r>
          </w:p>
        </w:tc>
      </w:tr>
      <w:tr w:rsidR="002510CF" w:rsidRPr="004D5643" w:rsidTr="002510CF">
        <w:trPr>
          <w:trHeight w:val="141"/>
        </w:trPr>
        <w:tc>
          <w:tcPr>
            <w:tcW w:w="3115" w:type="dxa"/>
            <w:vMerge w:val="restart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Staphylococcus</w:t>
            </w:r>
            <w:proofErr w:type="spell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aureus</w:t>
            </w:r>
            <w:proofErr w:type="spell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WDCM 00131</w:t>
            </w: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Клиндамицин</w:t>
            </w:r>
            <w:proofErr w:type="spellEnd"/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0,06–0,25</w:t>
            </w:r>
          </w:p>
        </w:tc>
      </w:tr>
      <w:tr w:rsidR="002510CF" w:rsidRPr="004D5643" w:rsidTr="002510CF">
        <w:trPr>
          <w:trHeight w:val="141"/>
        </w:trPr>
        <w:tc>
          <w:tcPr>
            <w:tcW w:w="3115" w:type="dxa"/>
            <w:vMerge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Эритромицин</w:t>
            </w: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0,25–1</w:t>
            </w:r>
          </w:p>
        </w:tc>
      </w:tr>
      <w:tr w:rsidR="002510CF" w:rsidRPr="004D5643" w:rsidTr="002510CF">
        <w:trPr>
          <w:trHeight w:val="141"/>
        </w:trPr>
        <w:tc>
          <w:tcPr>
            <w:tcW w:w="3115" w:type="dxa"/>
            <w:vMerge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Оксациллин</w:t>
            </w: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0,12–0,5</w:t>
            </w:r>
          </w:p>
        </w:tc>
      </w:tr>
      <w:tr w:rsidR="002510CF" w:rsidRPr="004D5643" w:rsidTr="002510CF">
        <w:trPr>
          <w:trHeight w:val="141"/>
        </w:trPr>
        <w:tc>
          <w:tcPr>
            <w:tcW w:w="3115" w:type="dxa"/>
            <w:vMerge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Тетрациклин</w:t>
            </w: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0,12–1</w:t>
            </w:r>
          </w:p>
        </w:tc>
      </w:tr>
      <w:tr w:rsidR="002510CF" w:rsidRPr="004D5643" w:rsidTr="002510CF">
        <w:trPr>
          <w:trHeight w:val="141"/>
        </w:trPr>
        <w:tc>
          <w:tcPr>
            <w:tcW w:w="3115" w:type="dxa"/>
            <w:vMerge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Ванкомицин</w:t>
            </w:r>
            <w:proofErr w:type="spellEnd"/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0,5–2</w:t>
            </w:r>
          </w:p>
        </w:tc>
      </w:tr>
      <w:tr w:rsidR="002510CF" w:rsidRPr="004D5643" w:rsidTr="002510CF">
        <w:trPr>
          <w:trHeight w:val="235"/>
        </w:trPr>
        <w:tc>
          <w:tcPr>
            <w:tcW w:w="3115" w:type="dxa"/>
            <w:vMerge w:val="restart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Enterococcus</w:t>
            </w:r>
            <w:proofErr w:type="spell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faecalis</w:t>
            </w:r>
            <w:proofErr w:type="spell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WDCM 00087</w:t>
            </w: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Ампициллин</w:t>
            </w: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0,5–2</w:t>
            </w:r>
          </w:p>
        </w:tc>
      </w:tr>
      <w:tr w:rsidR="002510CF" w:rsidRPr="004D5643" w:rsidTr="002510CF">
        <w:trPr>
          <w:trHeight w:val="235"/>
        </w:trPr>
        <w:tc>
          <w:tcPr>
            <w:tcW w:w="3115" w:type="dxa"/>
            <w:vMerge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Триметоприм-Сульфатомексазол</w:t>
            </w:r>
            <w:proofErr w:type="spell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≤0,5/9,5a</w:t>
            </w:r>
          </w:p>
        </w:tc>
      </w:tr>
      <w:tr w:rsidR="002510CF" w:rsidRPr="004D5643" w:rsidTr="002510CF">
        <w:trPr>
          <w:trHeight w:val="235"/>
        </w:trPr>
        <w:tc>
          <w:tcPr>
            <w:tcW w:w="3115" w:type="dxa"/>
            <w:vMerge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Ванкомицин</w:t>
            </w:r>
            <w:proofErr w:type="spellEnd"/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1–4</w:t>
            </w:r>
          </w:p>
        </w:tc>
      </w:tr>
      <w:tr w:rsidR="002510CF" w:rsidRPr="004D5643" w:rsidTr="002510CF">
        <w:trPr>
          <w:trHeight w:val="235"/>
        </w:trPr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Staphylococcus</w:t>
            </w:r>
            <w:proofErr w:type="spell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aureus</w:t>
            </w:r>
            <w:proofErr w:type="spell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WDCM 00211</w:t>
            </w: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Оксациллин</w:t>
            </w:r>
          </w:p>
        </w:tc>
        <w:tc>
          <w:tcPr>
            <w:tcW w:w="3115" w:type="dxa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4–32</w:t>
            </w:r>
          </w:p>
        </w:tc>
      </w:tr>
      <w:tr w:rsidR="002510CF" w:rsidRPr="004D5643" w:rsidTr="002510CF">
        <w:trPr>
          <w:trHeight w:val="235"/>
        </w:trPr>
        <w:tc>
          <w:tcPr>
            <w:tcW w:w="9345" w:type="dxa"/>
            <w:gridSpan w:val="3"/>
            <w:shd w:val="clear" w:color="auto" w:fill="auto"/>
          </w:tcPr>
          <w:p w:rsidR="002510CF" w:rsidRPr="004D5643" w:rsidRDefault="002510CF" w:rsidP="004D5643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a</w:t>
            </w:r>
            <w:proofErr w:type="gram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Пограничные</w:t>
            </w:r>
            <w:proofErr w:type="spell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значения для контрольных штаммов в отношении </w:t>
            </w: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Триметоприма</w:t>
            </w:r>
            <w:proofErr w:type="spell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– </w:t>
            </w: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Сульфатомексазола</w:t>
            </w:r>
            <w:proofErr w:type="spell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еще не установлены CLSI или EUCAST. Результаты МПК для </w:t>
            </w: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Триметоприма</w:t>
            </w:r>
            <w:proofErr w:type="spell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– </w:t>
            </w:r>
            <w:proofErr w:type="spellStart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>Сульфатомексазола</w:t>
            </w:r>
            <w:proofErr w:type="spellEnd"/>
            <w:r w:rsidRPr="004D5643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должны быть &lt;/=0,5/9,5 мг/л</w:t>
            </w:r>
          </w:p>
        </w:tc>
      </w:tr>
    </w:tbl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>4.5 Оценка результатов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lastRenderedPageBreak/>
        <w:t xml:space="preserve">Если все критерии эффективности для всех комбинаций микроорганизм-антимикробный агент находятся в допустимых диапазонах, перечисленных в 4.4, и все физические и химические характеристики отвечают требованиям к среде (см. 4.2), производитель может отметить это специальной маркировкой, пример которой приведен в Приложении D. Производители должны пытаться достигать среднестатистических значений МПК в серии тестов, близких к средней точке контрольных диапазонов. Данные контролей качества должны храниться в файле, а результаты должны быть доступны по запросу.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5 Требования к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агару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063991">
        <w:rPr>
          <w:rFonts w:ascii="Arial" w:hAnsi="Arial" w:cs="Arial"/>
          <w:b/>
          <w:color w:val="000000" w:themeColor="text1"/>
        </w:rPr>
        <w:t>Mueller-Hinton</w:t>
      </w:r>
      <w:proofErr w:type="spellEnd"/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5.1 Компоненты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агара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063991">
        <w:rPr>
          <w:rFonts w:ascii="Arial" w:hAnsi="Arial" w:cs="Arial"/>
          <w:b/>
          <w:color w:val="000000" w:themeColor="text1"/>
        </w:rPr>
        <w:t>Mueller-Hinton</w:t>
      </w:r>
      <w:proofErr w:type="spellEnd"/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Исторически агаровая среда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для тестирования чувствительности к антимикробным препаратам содержит приблизительно (может потребоваться корректировка для соответствия критериям эффективности) следующие компоненты на литр очищенной воды [7]: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- обезвоженный настой из 300г говядины (то есть 2г порошка экстракта говядины);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- кислотный </w:t>
      </w:r>
      <w:proofErr w:type="spellStart"/>
      <w:r w:rsidRPr="006D6392">
        <w:rPr>
          <w:rFonts w:ascii="Arial" w:hAnsi="Arial" w:cs="Arial"/>
          <w:color w:val="000000" w:themeColor="text1"/>
        </w:rPr>
        <w:t>гидролизат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казеина 17,5г;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- крахмал 1,5 г;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- </w:t>
      </w:r>
      <w:proofErr w:type="spellStart"/>
      <w:r w:rsidRPr="006D6392">
        <w:rPr>
          <w:rFonts w:ascii="Arial" w:hAnsi="Arial" w:cs="Arial"/>
          <w:color w:val="000000" w:themeColor="text1"/>
        </w:rPr>
        <w:t>агар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17 г.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>5.2 Физико-химические характеристики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>5.2.1 Обезвоженный порошок или гранулы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Цвет: от </w:t>
      </w:r>
      <w:proofErr w:type="gramStart"/>
      <w:r w:rsidRPr="006D6392">
        <w:rPr>
          <w:rFonts w:ascii="Arial" w:hAnsi="Arial" w:cs="Arial"/>
          <w:color w:val="000000" w:themeColor="text1"/>
        </w:rPr>
        <w:t>бежевого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до светло-бежевого.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Однородный, сыпучий, и не содержащий посторонних примесей порошок.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>5.2.2 Готовая агаровая среда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Конечная </w:t>
      </w:r>
      <w:proofErr w:type="spellStart"/>
      <w:r w:rsidRPr="006D6392">
        <w:rPr>
          <w:rFonts w:ascii="Arial" w:hAnsi="Arial" w:cs="Arial"/>
          <w:color w:val="000000" w:themeColor="text1"/>
        </w:rPr>
        <w:t>pH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, измеренная после </w:t>
      </w:r>
      <w:proofErr w:type="spellStart"/>
      <w:r w:rsidRPr="006D6392">
        <w:rPr>
          <w:rFonts w:ascii="Arial" w:hAnsi="Arial" w:cs="Arial"/>
          <w:color w:val="000000" w:themeColor="text1"/>
        </w:rPr>
        <w:t>автоклавирования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и гелеобразования, должна составлять от 7,2 до 7,4 при 25 °C.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Гелеобразная среда должна быть светло-соломенного цвета и слегка </w:t>
      </w:r>
      <w:proofErr w:type="spellStart"/>
      <w:r w:rsidRPr="006D6392">
        <w:rPr>
          <w:rFonts w:ascii="Arial" w:hAnsi="Arial" w:cs="Arial"/>
          <w:color w:val="000000" w:themeColor="text1"/>
        </w:rPr>
        <w:t>опалесцировать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. Глубина среды в чашке Петри должна быть одинаковой и находиться в диапазоне от 3,5 мм до 5,0 мм [EUCAST указывает 4 мм ± 0,5 мм и CLSI приблизительно 4 мм [6] или от 4 мм до 5 мм (Документ CLSI M6 [1])]. Чашки Петри разных производителей могут различаться по диаметру (диаметр </w:t>
      </w:r>
      <w:r w:rsidRPr="006D6392">
        <w:rPr>
          <w:rFonts w:ascii="Arial" w:hAnsi="Arial" w:cs="Arial"/>
          <w:color w:val="000000" w:themeColor="text1"/>
        </w:rPr>
        <w:lastRenderedPageBreak/>
        <w:t xml:space="preserve">измеряется по основанию внутренней чашки), и объем </w:t>
      </w:r>
      <w:proofErr w:type="spellStart"/>
      <w:r w:rsidRPr="006D6392">
        <w:rPr>
          <w:rFonts w:ascii="Arial" w:hAnsi="Arial" w:cs="Arial"/>
          <w:color w:val="000000" w:themeColor="text1"/>
        </w:rPr>
        <w:t>агара</w:t>
      </w:r>
      <w:proofErr w:type="spellEnd"/>
      <w:r w:rsidRPr="006D6392">
        <w:rPr>
          <w:rFonts w:ascii="Arial" w:hAnsi="Arial" w:cs="Arial"/>
          <w:color w:val="000000" w:themeColor="text1"/>
        </w:rPr>
        <w:t>, необходимый для обеспечения заданной глубины, рассчитывается по формуле «3,143 × радиус чашки Петри (см) в квадрате × глубина (см)». Отсюда, приемлемый диапазон глубины среды для круглых чашек Петри с внутренним диаметром 90 мм, 100 мм и 150 мм достигается с помощью объемов среды - от 23 мл до 31 мл, от 28 мл до 39 мл и от 62 мл до 88 мл, соответственно. Для чашек Петри других размеров следует рассчитывать необходимый объем среды.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5.2.3 Добавка катионов и химический состав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агара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063991">
        <w:rPr>
          <w:rFonts w:ascii="Arial" w:hAnsi="Arial" w:cs="Arial"/>
          <w:b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proofErr w:type="spellStart"/>
      <w:r w:rsidRPr="006D6392">
        <w:rPr>
          <w:rFonts w:ascii="Arial" w:hAnsi="Arial" w:cs="Arial"/>
          <w:color w:val="000000" w:themeColor="text1"/>
        </w:rPr>
        <w:t>Агар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должен содержать достаточную концентрацию катионов, чтобы обеспечить адекватный рост и позволить исследователю определять диаметры зон ингибирования роста для контрольных штаммов в диапазонах, указанных в 5.4. Среда должна иметь такие концентрации катионов Ca2+ и Mg2+, чтобы обеспечить значения диаметра зон ингибирования роста в ожидаемом диапазоне для </w:t>
      </w:r>
      <w:proofErr w:type="spellStart"/>
      <w:r w:rsidRPr="006D6392">
        <w:rPr>
          <w:rFonts w:ascii="Arial" w:hAnsi="Arial" w:cs="Arial"/>
          <w:color w:val="000000" w:themeColor="text1"/>
        </w:rPr>
        <w:t>Pseudomonas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 </w:t>
      </w:r>
      <w:proofErr w:type="spellStart"/>
      <w:r w:rsidRPr="006D6392">
        <w:rPr>
          <w:rFonts w:ascii="Arial" w:hAnsi="Arial" w:cs="Arial"/>
          <w:color w:val="000000" w:themeColor="text1"/>
        </w:rPr>
        <w:t>aeruginosa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при тестировании с </w:t>
      </w:r>
      <w:proofErr w:type="spellStart"/>
      <w:r w:rsidRPr="006D6392">
        <w:rPr>
          <w:rFonts w:ascii="Arial" w:hAnsi="Arial" w:cs="Arial"/>
          <w:color w:val="000000" w:themeColor="text1"/>
        </w:rPr>
        <w:t>аминогликозидами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. Для этого необходимо тестировать контрольный штамм </w:t>
      </w:r>
      <w:proofErr w:type="spellStart"/>
      <w:r w:rsidRPr="006D6392">
        <w:rPr>
          <w:rFonts w:ascii="Arial" w:hAnsi="Arial" w:cs="Arial"/>
          <w:color w:val="000000" w:themeColor="text1"/>
        </w:rPr>
        <w:t>Pseudomonas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aeruginosa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 WDCM 00025 с антибиотиком гентамицином для достижения допустимых границ задержки роста. Незначительное количество марганца требуется для роста микроорганизмов, однако его концентрация должна быть ниже 8 мг/л, это необходимо для предотвращения получения результатов о ложной резистентности при оценке чувствительности к </w:t>
      </w:r>
      <w:proofErr w:type="spellStart"/>
      <w:r w:rsidRPr="006D6392">
        <w:rPr>
          <w:rFonts w:ascii="Arial" w:hAnsi="Arial" w:cs="Arial"/>
          <w:color w:val="000000" w:themeColor="text1"/>
        </w:rPr>
        <w:t>глицилциклинам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[8]. Это должно быть определено (оптимизировано) путем оценки чувствительности в пределах допустимых диапазонов, с использованием контрольного штамма </w:t>
      </w:r>
      <w:proofErr w:type="spellStart"/>
      <w:r w:rsidRPr="006D6392">
        <w:rPr>
          <w:rFonts w:ascii="Arial" w:hAnsi="Arial" w:cs="Arial"/>
          <w:color w:val="000000" w:themeColor="text1"/>
        </w:rPr>
        <w:t>Escherichia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coli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WDCM 00013 и антибиотика </w:t>
      </w:r>
      <w:proofErr w:type="spellStart"/>
      <w:r w:rsidRPr="006D6392">
        <w:rPr>
          <w:rFonts w:ascii="Arial" w:hAnsi="Arial" w:cs="Arial"/>
          <w:color w:val="000000" w:themeColor="text1"/>
        </w:rPr>
        <w:t>тигециклина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. Концентрация цинка также влияет на получение ложных результатов резистентности к </w:t>
      </w:r>
      <w:proofErr w:type="spellStart"/>
      <w:r w:rsidRPr="006D6392">
        <w:rPr>
          <w:rFonts w:ascii="Arial" w:hAnsi="Arial" w:cs="Arial"/>
          <w:color w:val="000000" w:themeColor="text1"/>
        </w:rPr>
        <w:t>карбапенемным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антибиотикам, среда должна иметь концентрацию цинка ниже 3 мг/л. Содержание цинка в среде должно быть определено (оптимизировано) путем оценки чувствительности в пределах допустимых диапазонов, с использованием контрольного штамма </w:t>
      </w:r>
      <w:proofErr w:type="spellStart"/>
      <w:r w:rsidRPr="006D6392">
        <w:rPr>
          <w:rFonts w:ascii="Arial" w:hAnsi="Arial" w:cs="Arial"/>
          <w:color w:val="000000" w:themeColor="text1"/>
        </w:rPr>
        <w:t>Pseudomonas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aeruginosa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WDCM 00025 и антибиотика </w:t>
      </w:r>
      <w:proofErr w:type="spellStart"/>
      <w:r w:rsidRPr="006D6392">
        <w:rPr>
          <w:rFonts w:ascii="Arial" w:hAnsi="Arial" w:cs="Arial"/>
          <w:color w:val="000000" w:themeColor="text1"/>
        </w:rPr>
        <w:t>имипенема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. Известно, что избыточная концентрация цинка влияет и на результаты оценки чувствительности не только </w:t>
      </w:r>
      <w:proofErr w:type="spellStart"/>
      <w:r w:rsidRPr="006D6392">
        <w:rPr>
          <w:rFonts w:ascii="Arial" w:hAnsi="Arial" w:cs="Arial"/>
          <w:color w:val="000000" w:themeColor="text1"/>
        </w:rPr>
        <w:t>имипенема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, но и  других </w:t>
      </w:r>
      <w:proofErr w:type="spellStart"/>
      <w:r w:rsidRPr="006D6392">
        <w:rPr>
          <w:rFonts w:ascii="Arial" w:hAnsi="Arial" w:cs="Arial"/>
          <w:color w:val="000000" w:themeColor="text1"/>
        </w:rPr>
        <w:t>карбапенемов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. 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>5.2.4 Другие компоненты среды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Среда должна иметь массовую концентрацию </w:t>
      </w:r>
      <w:proofErr w:type="spellStart"/>
      <w:r w:rsidRPr="006D6392">
        <w:rPr>
          <w:rFonts w:ascii="Arial" w:hAnsi="Arial" w:cs="Arial"/>
          <w:color w:val="000000" w:themeColor="text1"/>
        </w:rPr>
        <w:t>тимидина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менее чем 0,03 мг/л. Это можно проверить с использованием контрольного штамма </w:t>
      </w:r>
      <w:proofErr w:type="spellStart"/>
      <w:r w:rsidRPr="006D6392">
        <w:rPr>
          <w:rFonts w:ascii="Arial" w:hAnsi="Arial" w:cs="Arial"/>
          <w:color w:val="000000" w:themeColor="text1"/>
        </w:rPr>
        <w:t>Enterococcus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faecalis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WDCM 00210 и </w:t>
      </w:r>
      <w:proofErr w:type="spellStart"/>
      <w:r w:rsidRPr="006D6392">
        <w:rPr>
          <w:rFonts w:ascii="Arial" w:hAnsi="Arial" w:cs="Arial"/>
          <w:color w:val="000000" w:themeColor="text1"/>
        </w:rPr>
        <w:t>триметоприма-сульфаметоксаза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, при оптимальной </w:t>
      </w:r>
      <w:r w:rsidRPr="006D6392">
        <w:rPr>
          <w:rFonts w:ascii="Arial" w:hAnsi="Arial" w:cs="Arial"/>
          <w:color w:val="000000" w:themeColor="text1"/>
        </w:rPr>
        <w:lastRenderedPageBreak/>
        <w:t xml:space="preserve">концентрации </w:t>
      </w:r>
      <w:proofErr w:type="spellStart"/>
      <w:r w:rsidRPr="006D6392">
        <w:rPr>
          <w:rFonts w:ascii="Arial" w:hAnsi="Arial" w:cs="Arial"/>
          <w:color w:val="000000" w:themeColor="text1"/>
        </w:rPr>
        <w:t>тимидина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характерно образование четкого контура зоны ингибирования роста с диаметром ≥20 мм. Альтернативно, возможно использование контрольного штамма </w:t>
      </w:r>
      <w:proofErr w:type="spellStart"/>
      <w:r w:rsidRPr="006D6392">
        <w:rPr>
          <w:rFonts w:ascii="Arial" w:hAnsi="Arial" w:cs="Arial"/>
          <w:color w:val="000000" w:themeColor="text1"/>
        </w:rPr>
        <w:t>Enterococcus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faecalis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WDCM 00087 с оценкой соответствующего допустимого диаметра ингибирования роста. Плотная и адекватная прочность геля требуется для воспроизводимых размеров зон </w:t>
      </w:r>
      <w:proofErr w:type="spellStart"/>
      <w:r w:rsidRPr="006D6392">
        <w:rPr>
          <w:rFonts w:ascii="Arial" w:hAnsi="Arial" w:cs="Arial"/>
          <w:color w:val="000000" w:themeColor="text1"/>
        </w:rPr>
        <w:t>ингибиции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роста, которые должны соответствовать требованиям контроля качества. 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>5.2.5 Дополнительные добавки</w:t>
      </w:r>
    </w:p>
    <w:p w:rsidR="002510CF" w:rsidRPr="006D6392" w:rsidRDefault="002510CF" w:rsidP="004D5643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Тестирование прихотливых микроорганизмов, таких как стрептококки и </w:t>
      </w:r>
      <w:proofErr w:type="spellStart"/>
      <w:r w:rsidRPr="006D6392">
        <w:rPr>
          <w:rFonts w:ascii="Arial" w:hAnsi="Arial" w:cs="Arial"/>
          <w:color w:val="000000" w:themeColor="text1"/>
        </w:rPr>
        <w:t>Haemophilus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spp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. требует добавления ростовых добавок (например, кровь или компонентов крови). </w:t>
      </w:r>
      <w:proofErr w:type="spellStart"/>
      <w:r w:rsidRPr="006D6392">
        <w:rPr>
          <w:rFonts w:ascii="Arial" w:hAnsi="Arial" w:cs="Arial"/>
          <w:color w:val="000000" w:themeColor="text1"/>
        </w:rPr>
        <w:t>Агар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или партия бульона, которые соответствуют всем критериям контроля качества, приведенными в настояще</w:t>
      </w:r>
      <w:r w:rsidR="00C70B0F">
        <w:rPr>
          <w:rFonts w:ascii="Arial" w:hAnsi="Arial" w:cs="Arial"/>
          <w:color w:val="000000" w:themeColor="text1"/>
        </w:rPr>
        <w:t>м стандарте</w:t>
      </w:r>
      <w:r w:rsidRPr="006D6392">
        <w:rPr>
          <w:rFonts w:ascii="Arial" w:hAnsi="Arial" w:cs="Arial"/>
          <w:color w:val="000000" w:themeColor="text1"/>
        </w:rPr>
        <w:t>, могут быть использованы для тестирования прихотливых микроорганизмов. При этом</w:t>
      </w:r>
      <w:proofErr w:type="gramStart"/>
      <w:r w:rsidRPr="006D6392">
        <w:rPr>
          <w:rFonts w:ascii="Arial" w:hAnsi="Arial" w:cs="Arial"/>
          <w:color w:val="000000" w:themeColor="text1"/>
        </w:rPr>
        <w:t>,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после добавления конкретных добавок в среду, необходимо проводить тестирование контрольных штаммов. Полученные значения МПК или диаметры зон подавления роста должны быть в границах допустимых значений, опубликованных в документах CLSI [5] или EUCAST [3] для соответствующих контрольных штаммов и тестируемой среды с добавкой. См. A.2 для краткого описания специфического воздействия (добавок?) на активность антимикробных препаратов. Организмы / антимикробные агенты, не указанные (в А.2?), могут быть проверены производителем по своему усмотрению.</w:t>
      </w:r>
    </w:p>
    <w:p w:rsidR="005F7F84" w:rsidRPr="006D6392" w:rsidRDefault="005F7F84" w:rsidP="004D5643">
      <w:pPr>
        <w:spacing w:line="360" w:lineRule="auto"/>
        <w:ind w:firstLine="567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5.3 Протокол производителя для тестирования производственных партий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дегидратированного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агара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063991">
        <w:rPr>
          <w:rFonts w:ascii="Arial" w:hAnsi="Arial" w:cs="Arial"/>
          <w:b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b/>
          <w:color w:val="000000" w:themeColor="text1"/>
        </w:rPr>
        <w:t>.</w:t>
      </w:r>
    </w:p>
    <w:p w:rsidR="005F7F84" w:rsidRPr="006D6392" w:rsidRDefault="005F7F84" w:rsidP="004D5643">
      <w:pPr>
        <w:spacing w:before="120" w:after="120" w:line="360" w:lineRule="auto"/>
        <w:ind w:firstLine="567"/>
        <w:jc w:val="both"/>
        <w:rPr>
          <w:rFonts w:ascii="Arial" w:hAnsi="Arial"/>
          <w:color w:val="000000" w:themeColor="text1"/>
        </w:rPr>
      </w:pPr>
      <w:r w:rsidRPr="006D6392">
        <w:rPr>
          <w:rFonts w:ascii="Arial" w:hAnsi="Arial"/>
          <w:color w:val="000000" w:themeColor="text1"/>
        </w:rPr>
        <w:t xml:space="preserve">Диско-диффузионный метод должен использоваться для оценки производственных партий </w:t>
      </w:r>
      <w:proofErr w:type="spellStart"/>
      <w:r w:rsidRPr="006D6392">
        <w:rPr>
          <w:rFonts w:ascii="Arial" w:hAnsi="Arial"/>
          <w:color w:val="000000" w:themeColor="text1"/>
        </w:rPr>
        <w:t>д</w:t>
      </w:r>
      <w:proofErr w:type="gramStart"/>
      <w:r w:rsidRPr="006D6392">
        <w:rPr>
          <w:rFonts w:ascii="Arial" w:hAnsi="Arial"/>
          <w:color w:val="000000" w:themeColor="text1"/>
        </w:rPr>
        <w:t>M</w:t>
      </w:r>
      <w:proofErr w:type="gramEnd"/>
      <w:r w:rsidRPr="006D6392">
        <w:rPr>
          <w:rFonts w:ascii="Arial" w:hAnsi="Arial"/>
          <w:color w:val="000000" w:themeColor="text1"/>
        </w:rPr>
        <w:t>ХA</w:t>
      </w:r>
      <w:proofErr w:type="spellEnd"/>
      <w:r w:rsidRPr="006D6392">
        <w:rPr>
          <w:rFonts w:ascii="Arial" w:hAnsi="Arial"/>
          <w:color w:val="000000" w:themeColor="text1"/>
        </w:rPr>
        <w:t>. CLSI [5] и EUCAST [3] описывают процедуры приготовления чашек, проведения и учета результатов теста, а также хранения штамма. Эти процедуры должны соблюдаться с ограничениями, указанными ниже.</w:t>
      </w:r>
    </w:p>
    <w:p w:rsidR="005F7F84" w:rsidRPr="006D6392" w:rsidRDefault="005F7F84" w:rsidP="00B02925">
      <w:pPr>
        <w:numPr>
          <w:ilvl w:val="0"/>
          <w:numId w:val="18"/>
        </w:numPr>
        <w:tabs>
          <w:tab w:val="left" w:pos="993"/>
        </w:tabs>
        <w:suppressAutoHyphens w:val="0"/>
        <w:spacing w:before="120" w:after="120" w:line="360" w:lineRule="auto"/>
        <w:ind w:left="0" w:firstLine="567"/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6D6392">
        <w:rPr>
          <w:rFonts w:ascii="Arial" w:eastAsia="Calibri" w:hAnsi="Arial" w:cs="Arial"/>
          <w:color w:val="000000" w:themeColor="text1"/>
          <w:lang w:eastAsia="en-US"/>
        </w:rPr>
        <w:t xml:space="preserve">Протестировать как минимум один посевной материал на трех отдельных чашках для каждой комбинации микроорганизм-антимикробный препаратов, перечисленной в 5.4. Список комбинаций микроорганизм-антимикробный препарат, представляет минимальные требования для тестирования и включает препараты, которые могут обнаруживать определенные проблемы со средой. Другие антимикробные препараты могут быть испытаны по усмотрению </w:t>
      </w:r>
      <w:r w:rsidRPr="006D6392">
        <w:rPr>
          <w:rFonts w:ascii="Arial" w:eastAsia="Calibri" w:hAnsi="Arial" w:cs="Arial"/>
          <w:color w:val="000000" w:themeColor="text1"/>
          <w:lang w:eastAsia="en-US"/>
        </w:rPr>
        <w:lastRenderedPageBreak/>
        <w:t>производителя по мере необходимости для обеспечения стабильной работы среды. Среда должна соответствовать тестируемым антимикробным препаратам.</w:t>
      </w:r>
    </w:p>
    <w:p w:rsidR="005F7F84" w:rsidRPr="006D6392" w:rsidRDefault="005F7F84" w:rsidP="00B02925">
      <w:pPr>
        <w:numPr>
          <w:ilvl w:val="0"/>
          <w:numId w:val="18"/>
        </w:numPr>
        <w:tabs>
          <w:tab w:val="left" w:pos="993"/>
        </w:tabs>
        <w:suppressAutoHyphens w:val="0"/>
        <w:spacing w:before="120" w:after="120" w:line="360" w:lineRule="auto"/>
        <w:ind w:left="0" w:firstLine="567"/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6D6392">
        <w:rPr>
          <w:rFonts w:ascii="Arial" w:eastAsia="Calibri" w:hAnsi="Arial" w:cs="Arial"/>
          <w:color w:val="000000" w:themeColor="text1"/>
          <w:lang w:eastAsia="en-US"/>
        </w:rPr>
        <w:t>За два дня до посева на испытуемые чашки, разморозить пробирки с каждой необходимой контрольной культурой (см. Ниже и Приложение C). Проводить рассев каждой культуры на чашку с неселективной питательной агаровой средой и инкубировать ее в течение 18-24 часов при температуре 35 ± 2 ° C (CLSI) или 35 ± 1 ° C (EUCAST). После инкубации проверить на чистоту. Все микроорганизмы должны быть пересеяны как минимум дважды из замороженного состояния перед тестированием.</w:t>
      </w:r>
    </w:p>
    <w:p w:rsidR="005F7F84" w:rsidRPr="006D6392" w:rsidRDefault="005F7F84" w:rsidP="00B02925">
      <w:pPr>
        <w:numPr>
          <w:ilvl w:val="0"/>
          <w:numId w:val="18"/>
        </w:numPr>
        <w:tabs>
          <w:tab w:val="left" w:pos="993"/>
        </w:tabs>
        <w:suppressAutoHyphens w:val="0"/>
        <w:spacing w:before="120" w:after="120" w:line="360" w:lineRule="auto"/>
        <w:ind w:left="0" w:firstLine="567"/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6D6392">
        <w:rPr>
          <w:rFonts w:ascii="Arial" w:eastAsia="Calibri" w:hAnsi="Arial" w:cs="Arial"/>
          <w:color w:val="000000" w:themeColor="text1"/>
          <w:lang w:eastAsia="en-US"/>
        </w:rPr>
        <w:t>Посевной материал доложен быть изготовлен из суспензии колоний контрольного штамма, описанный в самой последней версии документов CLSI или EUCAST.</w:t>
      </w:r>
    </w:p>
    <w:p w:rsidR="005F7F84" w:rsidRPr="006D6392" w:rsidRDefault="005F7F84" w:rsidP="00B02925">
      <w:pPr>
        <w:numPr>
          <w:ilvl w:val="0"/>
          <w:numId w:val="18"/>
        </w:numPr>
        <w:tabs>
          <w:tab w:val="left" w:pos="993"/>
        </w:tabs>
        <w:suppressAutoHyphens w:val="0"/>
        <w:spacing w:before="120" w:after="120" w:line="360" w:lineRule="auto"/>
        <w:ind w:left="0" w:firstLine="567"/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6D6392">
        <w:rPr>
          <w:rFonts w:ascii="Arial" w:eastAsia="Calibri" w:hAnsi="Arial" w:cs="Arial"/>
          <w:color w:val="000000" w:themeColor="text1"/>
          <w:lang w:eastAsia="en-US"/>
        </w:rPr>
        <w:t>Засеять по три чашки с каждой средой стандартизированным посевным материалом из каждой контрольной культуры. После стандартизации суспензии посевного материала, проводить посев на чашки в течение 15 минут.</w:t>
      </w:r>
    </w:p>
    <w:p w:rsidR="005F7F84" w:rsidRPr="006D6392" w:rsidRDefault="005F7F84" w:rsidP="00B02925">
      <w:pPr>
        <w:numPr>
          <w:ilvl w:val="0"/>
          <w:numId w:val="18"/>
        </w:numPr>
        <w:tabs>
          <w:tab w:val="left" w:pos="993"/>
        </w:tabs>
        <w:suppressAutoHyphens w:val="0"/>
        <w:spacing w:before="120" w:after="120" w:line="360" w:lineRule="auto"/>
        <w:ind w:left="0" w:firstLine="567"/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6D6392">
        <w:rPr>
          <w:rFonts w:ascii="Arial" w:eastAsia="Calibri" w:hAnsi="Arial" w:cs="Arial"/>
          <w:color w:val="000000" w:themeColor="text1"/>
          <w:lang w:eastAsia="en-US"/>
        </w:rPr>
        <w:t xml:space="preserve">После инкубации при соответствующей температуре [то есть 35 ° C ± 2 ° C (CLSI) или 35 ° C ± 1 ° C (EUCAST)] и в течение соответствующего времени (то есть от 16 ч до 20 ч) извлечь чашки из термостата и учесть результат в течение одного часа. Для энтерококков с </w:t>
      </w:r>
      <w:proofErr w:type="spellStart"/>
      <w:r w:rsidRPr="006D6392">
        <w:rPr>
          <w:rFonts w:ascii="Arial" w:eastAsia="Calibri" w:hAnsi="Arial" w:cs="Arial"/>
          <w:color w:val="000000" w:themeColor="text1"/>
          <w:lang w:eastAsia="en-US"/>
        </w:rPr>
        <w:t>ванкомицином</w:t>
      </w:r>
      <w:proofErr w:type="spellEnd"/>
      <w:r w:rsidRPr="006D6392">
        <w:rPr>
          <w:rFonts w:ascii="Arial" w:eastAsia="Calibri" w:hAnsi="Arial" w:cs="Arial"/>
          <w:color w:val="000000" w:themeColor="text1"/>
          <w:lang w:eastAsia="en-US"/>
        </w:rPr>
        <w:t xml:space="preserve"> время инкубации увеличить до 24 часов.</w:t>
      </w:r>
    </w:p>
    <w:p w:rsidR="005F7F84" w:rsidRPr="006D6392" w:rsidRDefault="005F7F84" w:rsidP="00B02925">
      <w:pPr>
        <w:numPr>
          <w:ilvl w:val="0"/>
          <w:numId w:val="18"/>
        </w:numPr>
        <w:tabs>
          <w:tab w:val="left" w:pos="993"/>
        </w:tabs>
        <w:suppressAutoHyphens w:val="0"/>
        <w:spacing w:before="120" w:after="120" w:line="360" w:lineRule="auto"/>
        <w:ind w:left="0" w:firstLine="567"/>
        <w:jc w:val="both"/>
        <w:rPr>
          <w:rFonts w:ascii="Arial" w:eastAsia="Calibri" w:hAnsi="Arial" w:cs="Arial"/>
          <w:color w:val="000000" w:themeColor="text1"/>
          <w:lang w:eastAsia="en-US"/>
        </w:rPr>
      </w:pPr>
      <w:r w:rsidRPr="006D6392">
        <w:rPr>
          <w:rFonts w:ascii="Arial" w:eastAsia="Calibri" w:hAnsi="Arial" w:cs="Arial"/>
          <w:color w:val="000000" w:themeColor="text1"/>
          <w:lang w:eastAsia="en-US"/>
        </w:rPr>
        <w:t>Результаты должны быть записаны и храниться в соответствии с политикой производителя для сохранения записи. Предлагаемый лист данных для этой цели приведен в Приложении С.</w:t>
      </w:r>
    </w:p>
    <w:p w:rsidR="005F7F84" w:rsidRPr="006D6392" w:rsidRDefault="005F7F84" w:rsidP="00B02925">
      <w:pPr>
        <w:spacing w:line="360" w:lineRule="auto"/>
        <w:ind w:firstLine="567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>5.4. Учет Результатов</w:t>
      </w:r>
    </w:p>
    <w:p w:rsidR="005F7F84" w:rsidRPr="006D6392" w:rsidRDefault="005F7F84" w:rsidP="00B02925">
      <w:pPr>
        <w:spacing w:before="120" w:after="120" w:line="360" w:lineRule="auto"/>
        <w:ind w:firstLine="567"/>
        <w:jc w:val="both"/>
        <w:rPr>
          <w:rFonts w:ascii="Arial" w:hAnsi="Arial"/>
          <w:color w:val="000000" w:themeColor="text1"/>
        </w:rPr>
      </w:pPr>
      <w:r w:rsidRPr="006D6392">
        <w:rPr>
          <w:rFonts w:ascii="Arial" w:hAnsi="Arial"/>
          <w:color w:val="000000" w:themeColor="text1"/>
        </w:rPr>
        <w:t>В приложении B приведены альтернативные номера для одного и того же контрольного микроорганизма из разных коллекций культур.</w:t>
      </w:r>
    </w:p>
    <w:p w:rsidR="005F7F84" w:rsidRPr="00F41A79" w:rsidRDefault="005F7F84" w:rsidP="00B02925">
      <w:pPr>
        <w:spacing w:before="120" w:after="120" w:line="360" w:lineRule="auto"/>
        <w:rPr>
          <w:rFonts w:ascii="Arial" w:hAnsi="Arial"/>
          <w:color w:val="000000" w:themeColor="text1"/>
          <w:sz w:val="22"/>
          <w:szCs w:val="22"/>
        </w:rPr>
      </w:pPr>
      <w:r w:rsidRPr="00F41A79">
        <w:rPr>
          <w:rFonts w:ascii="Arial" w:hAnsi="Arial"/>
          <w:color w:val="000000" w:themeColor="text1"/>
          <w:sz w:val="22"/>
          <w:szCs w:val="22"/>
        </w:rPr>
        <w:t xml:space="preserve">Таблица 2 - Диапазоны зон задержки роста (в </w:t>
      </w:r>
      <w:proofErr w:type="gramStart"/>
      <w:r w:rsidRPr="00F41A79">
        <w:rPr>
          <w:rFonts w:ascii="Arial" w:hAnsi="Arial"/>
          <w:color w:val="000000" w:themeColor="text1"/>
          <w:sz w:val="22"/>
          <w:szCs w:val="22"/>
        </w:rPr>
        <w:t>мм</w:t>
      </w:r>
      <w:proofErr w:type="gramEnd"/>
      <w:r w:rsidRPr="00F41A79">
        <w:rPr>
          <w:rFonts w:ascii="Arial" w:hAnsi="Arial"/>
          <w:color w:val="000000" w:themeColor="text1"/>
          <w:sz w:val="22"/>
          <w:szCs w:val="22"/>
        </w:rPr>
        <w:t>) для контрольных штаммов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6"/>
        <w:gridCol w:w="2158"/>
        <w:gridCol w:w="2644"/>
        <w:gridCol w:w="2372"/>
      </w:tblGrid>
      <w:tr w:rsidR="005F7F84" w:rsidRPr="006D6392" w:rsidTr="009217BF">
        <w:trPr>
          <w:trHeight w:val="624"/>
        </w:trPr>
        <w:tc>
          <w:tcPr>
            <w:tcW w:w="2492" w:type="dxa"/>
            <w:shd w:val="clear" w:color="auto" w:fill="auto"/>
          </w:tcPr>
          <w:p w:rsidR="005F7F84" w:rsidRPr="00F41A79" w:rsidRDefault="00F41A79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Контрольный штамм</w:t>
            </w: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Н</w:t>
            </w:r>
            <w:r w:rsidR="00F41A79"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агрузка на диск, µg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Антимикробный агент</w:t>
            </w:r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Приемлемый диапазон, </w:t>
            </w:r>
            <w:proofErr w:type="gram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мм</w:t>
            </w:r>
            <w:proofErr w:type="gramEnd"/>
          </w:p>
        </w:tc>
      </w:tr>
      <w:tr w:rsidR="005F7F84" w:rsidRPr="006D6392" w:rsidTr="009217BF">
        <w:tc>
          <w:tcPr>
            <w:tcW w:w="2492" w:type="dxa"/>
            <w:vMerge w:val="restart"/>
            <w:shd w:val="clear" w:color="auto" w:fill="auto"/>
            <w:vAlign w:val="center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Staphylococcus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aureus</w:t>
            </w:r>
            <w:proofErr w:type="spellEnd"/>
          </w:p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WDCM 00034a</w:t>
            </w: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20/10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Амоксициллин-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клавуланат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28–36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10/10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Амоксициллин </w:t>
            </w:r>
            <w:proofErr w:type="gram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с</w:t>
            </w:r>
            <w:proofErr w:type="gram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ульбактам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29–37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Цефокситин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23–29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Ципрофлоксацин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22–30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Эритромицин</w:t>
            </w:r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22–30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Гентамицин</w:t>
            </w:r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19–27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Линезолид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25–32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10 единиц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Пенициллин</w:t>
            </w:r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26–37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Тетрациклин</w:t>
            </w:r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24–30</w:t>
            </w:r>
          </w:p>
        </w:tc>
      </w:tr>
      <w:tr w:rsidR="005F7F84" w:rsidRPr="006D6392" w:rsidTr="009217BF">
        <w:tc>
          <w:tcPr>
            <w:tcW w:w="2492" w:type="dxa"/>
            <w:vMerge w:val="restart"/>
            <w:shd w:val="clear" w:color="auto" w:fill="auto"/>
            <w:vAlign w:val="center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Staphylococcus aureus</w:t>
            </w: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br/>
              <w:t>WDCM 00131a,b</w:t>
            </w: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1единица 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Пенициллин (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Бензилпенициллин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12–18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Цефокситин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24–30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Ципрофлоксацин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21–27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Эритромицин</w:t>
            </w:r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23–29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Гентамицин</w:t>
            </w:r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19–25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Линезолид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21–27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Тетрациклин</w:t>
            </w:r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23–31</w:t>
            </w:r>
          </w:p>
        </w:tc>
      </w:tr>
      <w:tr w:rsidR="005F7F84" w:rsidRPr="006D6392" w:rsidTr="009217BF">
        <w:tc>
          <w:tcPr>
            <w:tcW w:w="2492" w:type="dxa"/>
            <w:vMerge w:val="restart"/>
            <w:shd w:val="clear" w:color="auto" w:fill="auto"/>
            <w:vAlign w:val="center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Enterococcus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faecalis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WDCM 00087c</w:t>
            </w: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Ампициллин</w:t>
            </w:r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15–21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Имипенем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24–30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Линезолид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19–25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Нитрофурантоин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18–24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Триметоприм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24–32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1,25–23,75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Триметоприм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-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сульфаметоксазол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26–34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Ванкомицин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10–16</w:t>
            </w:r>
          </w:p>
        </w:tc>
      </w:tr>
      <w:tr w:rsidR="005F7F84" w:rsidRPr="006D6392" w:rsidTr="009217BF">
        <w:tc>
          <w:tcPr>
            <w:tcW w:w="2492" w:type="dxa"/>
            <w:vMerge w:val="restart"/>
            <w:shd w:val="clear" w:color="auto" w:fill="auto"/>
            <w:vAlign w:val="center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Escherichia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coli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WDCM 00013</w:t>
            </w: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20/10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Амоксициллин-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клавуланат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18–24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Ампициллин</w:t>
            </w:r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15–22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30 или 5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Цефотаксим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29–35 или 25–31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Хлорамфеникол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21–27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Ципрофлоксацин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30–40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Гентамицин</w:t>
            </w:r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19–26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250 или 300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Sulfisoxazole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15–23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Тетрациклин</w:t>
            </w:r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18–25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Тигециклин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20–27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1,25/23,75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Триметоприм-сульфаметоксазол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23–29</w:t>
            </w:r>
          </w:p>
        </w:tc>
      </w:tr>
      <w:tr w:rsidR="005F7F84" w:rsidRPr="006D6392" w:rsidTr="009217BF">
        <w:tc>
          <w:tcPr>
            <w:tcW w:w="2492" w:type="dxa"/>
            <w:vMerge w:val="restart"/>
            <w:shd w:val="clear" w:color="auto" w:fill="auto"/>
            <w:vAlign w:val="center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Pseudomonas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aeruginosa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WDCM 00025</w:t>
            </w: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Азтреонам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23–29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10 или 30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Цефтазидим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21–27 или 22–29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Ципрофлоксацин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25–33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Гентамицин</w:t>
            </w:r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17–23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Имипенем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20–28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100/10 или 30/6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Пиперациллин-тазобактам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25–33 или 23–29</w:t>
            </w:r>
          </w:p>
        </w:tc>
      </w:tr>
      <w:tr w:rsidR="005F7F84" w:rsidRPr="006D6392" w:rsidTr="009217BF">
        <w:tc>
          <w:tcPr>
            <w:tcW w:w="2492" w:type="dxa"/>
            <w:vMerge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Тобрамицин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20–26</w:t>
            </w:r>
          </w:p>
        </w:tc>
      </w:tr>
      <w:tr w:rsidR="005F7F84" w:rsidRPr="006D6392" w:rsidTr="009217BF"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Enterococcus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faecalis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WDCM 00210</w:t>
            </w: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1,25/23,75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Триметоприм-сульфаметоксазол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с</w:t>
            </w:r>
          </w:p>
        </w:tc>
      </w:tr>
      <w:tr w:rsidR="005F7F84" w:rsidRPr="006D6392" w:rsidTr="009217BF"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Staphylococcus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aureus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WDCM 00211</w:t>
            </w: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Цефокситин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d</w:t>
            </w:r>
          </w:p>
        </w:tc>
      </w:tr>
      <w:tr w:rsidR="005F7F84" w:rsidRPr="006D6392" w:rsidTr="009217BF"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Staphylococcus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aureus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WDCM 00212</w:t>
            </w:r>
          </w:p>
        </w:tc>
        <w:tc>
          <w:tcPr>
            <w:tcW w:w="2294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30</w:t>
            </w:r>
          </w:p>
        </w:tc>
        <w:tc>
          <w:tcPr>
            <w:tcW w:w="2690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Цефокситин</w:t>
            </w:r>
            <w:proofErr w:type="spellEnd"/>
          </w:p>
        </w:tc>
        <w:tc>
          <w:tcPr>
            <w:tcW w:w="2492" w:type="dxa"/>
            <w:shd w:val="clear" w:color="auto" w:fill="auto"/>
          </w:tcPr>
          <w:p w:rsidR="005F7F84" w:rsidRPr="00F41A79" w:rsidRDefault="005F7F84" w:rsidP="00F41A79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14–20</w:t>
            </w:r>
          </w:p>
        </w:tc>
      </w:tr>
      <w:tr w:rsidR="005F7F84" w:rsidRPr="006D6392" w:rsidTr="009217BF">
        <w:tc>
          <w:tcPr>
            <w:tcW w:w="9968" w:type="dxa"/>
            <w:gridSpan w:val="4"/>
            <w:shd w:val="clear" w:color="auto" w:fill="auto"/>
          </w:tcPr>
          <w:p w:rsidR="005F7F84" w:rsidRPr="00F41A79" w:rsidRDefault="005F7F84" w:rsidP="00F41A79">
            <w:pPr>
              <w:numPr>
                <w:ilvl w:val="0"/>
                <w:numId w:val="17"/>
              </w:num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 xml:space="preserve">Для S.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aureus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WDCM 00034 использовать диски с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линезолидом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по 30 мкг и с пенициллином по 10 единиц. Для S.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aureus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WDCM 00131 использовать диски с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линезолидом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по 10 мкг и с пенициллином (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бензилпенициллином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) по 1 единице.</w:t>
            </w:r>
          </w:p>
          <w:p w:rsidR="005F7F84" w:rsidRPr="00F41A79" w:rsidRDefault="005F7F84" w:rsidP="00F41A79">
            <w:pPr>
              <w:numPr>
                <w:ilvl w:val="0"/>
                <w:numId w:val="17"/>
              </w:num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Зона задержки роста представлены в таблице EUCAST [3].  Проверьте последнюю версию от EUCAST http: //www.eucast.org для обновленных параметров, поскольку они подлежат периодическим обновлениям.  S.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aureus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WDCM 00131 - это штамм для контроля качества альтернативный штамму S.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aureus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WDCM 00034.  S.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aureus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WDCM 00034 необходимо использовать в </w:t>
            </w:r>
            <w:proofErr w:type="gram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диско-диффузионном</w:t>
            </w:r>
            <w:proofErr w:type="gram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методе для антимикробных препаратов при отсутствии рекомендованного приемлемого диапазона для WDCM 00131.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Цефокситин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заменяет оксациллин в качестве суррогатного подхода для выявления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метициллин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-резистентного золотистого стафилококка (MRSA). Использование оксациллина в </w:t>
            </w:r>
            <w:proofErr w:type="gram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диско-диффузионном</w:t>
            </w:r>
            <w:proofErr w:type="gram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методе не рекомендуется. См. Документы CLSI [5] или EUCAST [3].</w:t>
            </w:r>
          </w:p>
          <w:p w:rsidR="005F7F84" w:rsidRPr="00F41A79" w:rsidRDefault="005F7F84" w:rsidP="00F41A79">
            <w:pPr>
              <w:numPr>
                <w:ilvl w:val="0"/>
                <w:numId w:val="17"/>
              </w:num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Зона подавления роста для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триметоприм-сульфаметоксазола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должна составлять ≥ 20 мм.</w:t>
            </w:r>
          </w:p>
          <w:p w:rsidR="005F7F84" w:rsidRPr="00F41A79" w:rsidRDefault="005F7F84" w:rsidP="00F41A79">
            <w:pPr>
              <w:numPr>
                <w:ilvl w:val="0"/>
                <w:numId w:val="17"/>
              </w:numPr>
              <w:suppressAutoHyphens w:val="0"/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Зона подавления роста для </w:t>
            </w:r>
            <w:proofErr w:type="spellStart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>цефокситина</w:t>
            </w:r>
            <w:proofErr w:type="spellEnd"/>
            <w:r w:rsidRPr="00F41A79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(CLSI [3]) должна составлять ≤ 21 мм.</w:t>
            </w:r>
          </w:p>
        </w:tc>
      </w:tr>
    </w:tbl>
    <w:p w:rsidR="005F7F84" w:rsidRPr="006D6392" w:rsidRDefault="005F7F84" w:rsidP="00F41A79">
      <w:pPr>
        <w:spacing w:line="360" w:lineRule="auto"/>
        <w:ind w:firstLine="567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 </w:t>
      </w:r>
      <w:r w:rsidRPr="006D6392">
        <w:rPr>
          <w:rFonts w:ascii="Arial" w:hAnsi="Arial" w:cs="Arial"/>
          <w:color w:val="000000" w:themeColor="text1"/>
        </w:rPr>
        <w:br/>
      </w:r>
      <w:r w:rsidRPr="006D6392">
        <w:rPr>
          <w:rFonts w:ascii="Arial" w:hAnsi="Arial" w:cs="Arial"/>
          <w:b/>
          <w:color w:val="000000" w:themeColor="text1"/>
        </w:rPr>
        <w:t>5.5 Оценка результатов</w:t>
      </w:r>
    </w:p>
    <w:p w:rsidR="005F7F84" w:rsidRPr="006D6392" w:rsidRDefault="005F7F84" w:rsidP="00F41A79">
      <w:pPr>
        <w:spacing w:before="120" w:after="120" w:line="360" w:lineRule="auto"/>
        <w:ind w:firstLine="567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Если все критерии эффективности для всех комбинаций микроорганизм-антимикробный препарат находятся в допустимых пределах (см. 5.4) и все физические и химические характеристики соблюдены (см. 5.2), изготовитель может применять заявление с маркировкой, указанное в приложении D. Производители должны пытаться достичь значений среднего диаметра зоны задержки роста, близких к средней точке контрольных диапазонов. Данные должны храниться в файле, а результаты должны быть доступны любому по запросу.</w:t>
      </w:r>
    </w:p>
    <w:p w:rsidR="005F7F84" w:rsidRPr="006D6392" w:rsidRDefault="005F7F84" w:rsidP="00CE0B31">
      <w:pPr>
        <w:spacing w:line="360" w:lineRule="auto"/>
        <w:ind w:firstLine="567"/>
        <w:jc w:val="both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t xml:space="preserve">6. Исследование новых антимикробных препаратов с производственными сериями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дегидратированного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бульона или </w:t>
      </w:r>
      <w:proofErr w:type="spellStart"/>
      <w:r w:rsidRPr="006D6392">
        <w:rPr>
          <w:rFonts w:ascii="Arial" w:hAnsi="Arial" w:cs="Arial"/>
          <w:b/>
          <w:color w:val="000000" w:themeColor="text1"/>
        </w:rPr>
        <w:t>агара</w:t>
      </w:r>
      <w:proofErr w:type="spellEnd"/>
      <w:r w:rsidRPr="006D6392">
        <w:rPr>
          <w:rFonts w:ascii="Arial" w:hAnsi="Arial" w:cs="Arial"/>
          <w:b/>
          <w:color w:val="000000" w:themeColor="text1"/>
        </w:rPr>
        <w:t xml:space="preserve"> </w:t>
      </w:r>
      <w:proofErr w:type="spellStart"/>
      <w:r w:rsidR="00063991">
        <w:rPr>
          <w:rFonts w:ascii="Arial" w:hAnsi="Arial" w:cs="Arial"/>
          <w:b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b/>
          <w:color w:val="000000" w:themeColor="text1"/>
        </w:rPr>
        <w:t>.</w:t>
      </w:r>
    </w:p>
    <w:p w:rsidR="00B9408A" w:rsidRPr="006D6392" w:rsidRDefault="005F7F84" w:rsidP="00F41A79">
      <w:pPr>
        <w:spacing w:before="120" w:after="120"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При изучении </w:t>
      </w:r>
      <w:proofErr w:type="spellStart"/>
      <w:r w:rsidRPr="006D6392">
        <w:rPr>
          <w:rFonts w:ascii="Arial" w:hAnsi="Arial" w:cs="Arial"/>
          <w:color w:val="000000" w:themeColor="text1"/>
        </w:rPr>
        <w:t>in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vitro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новых противомикробных препаратов, для разработки критериев качества этих препаратов необходимо использовать производственные серии </w:t>
      </w:r>
      <w:proofErr w:type="spellStart"/>
      <w:r w:rsidRPr="006D6392">
        <w:rPr>
          <w:rFonts w:ascii="Arial" w:hAnsi="Arial" w:cs="Arial"/>
          <w:color w:val="000000" w:themeColor="text1"/>
        </w:rPr>
        <w:t>д</w:t>
      </w:r>
      <w:proofErr w:type="gramStart"/>
      <w:r w:rsidRPr="006D6392">
        <w:rPr>
          <w:rFonts w:ascii="Arial" w:hAnsi="Arial" w:cs="Arial"/>
          <w:color w:val="000000" w:themeColor="text1"/>
        </w:rPr>
        <w:t>M</w:t>
      </w:r>
      <w:proofErr w:type="gramEnd"/>
      <w:r w:rsidRPr="006D6392">
        <w:rPr>
          <w:rFonts w:ascii="Arial" w:hAnsi="Arial" w:cs="Arial"/>
          <w:color w:val="000000" w:themeColor="text1"/>
        </w:rPr>
        <w:t>ХБ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или </w:t>
      </w:r>
      <w:proofErr w:type="spellStart"/>
      <w:r w:rsidRPr="006D6392">
        <w:rPr>
          <w:rFonts w:ascii="Arial" w:hAnsi="Arial" w:cs="Arial"/>
          <w:color w:val="000000" w:themeColor="text1"/>
        </w:rPr>
        <w:t>дMХA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, отвечающие критериям, указанным в настоящих Технических требованиях. Исследование производственных серий </w:t>
      </w:r>
      <w:proofErr w:type="spellStart"/>
      <w:r w:rsidRPr="006D6392">
        <w:rPr>
          <w:rFonts w:ascii="Arial" w:hAnsi="Arial" w:cs="Arial"/>
          <w:color w:val="000000" w:themeColor="text1"/>
        </w:rPr>
        <w:t>д</w:t>
      </w:r>
      <w:proofErr w:type="gramStart"/>
      <w:r w:rsidRPr="006D6392">
        <w:rPr>
          <w:rFonts w:ascii="Arial" w:hAnsi="Arial" w:cs="Arial"/>
          <w:color w:val="000000" w:themeColor="text1"/>
        </w:rPr>
        <w:t>M</w:t>
      </w:r>
      <w:proofErr w:type="gramEnd"/>
      <w:r w:rsidRPr="006D6392">
        <w:rPr>
          <w:rFonts w:ascii="Arial" w:hAnsi="Arial" w:cs="Arial"/>
          <w:color w:val="000000" w:themeColor="text1"/>
        </w:rPr>
        <w:t>ХБ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или </w:t>
      </w:r>
      <w:proofErr w:type="spellStart"/>
      <w:r w:rsidRPr="006D6392">
        <w:rPr>
          <w:rFonts w:ascii="Arial" w:hAnsi="Arial" w:cs="Arial"/>
          <w:color w:val="000000" w:themeColor="text1"/>
        </w:rPr>
        <w:t>дMХA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с новыми антимикробными агентами должно осуществляться в соответствии с процедурами, изложенными в настоящих Технических требованиях. Для </w:t>
      </w:r>
      <w:proofErr w:type="spellStart"/>
      <w:r w:rsidRPr="006D6392">
        <w:rPr>
          <w:rFonts w:ascii="Arial" w:hAnsi="Arial" w:cs="Arial"/>
          <w:color w:val="000000" w:themeColor="text1"/>
        </w:rPr>
        <w:t>д</w:t>
      </w:r>
      <w:proofErr w:type="gramStart"/>
      <w:r w:rsidRPr="006D6392">
        <w:rPr>
          <w:rFonts w:ascii="Arial" w:hAnsi="Arial" w:cs="Arial"/>
          <w:color w:val="000000" w:themeColor="text1"/>
        </w:rPr>
        <w:t>M</w:t>
      </w:r>
      <w:proofErr w:type="gramEnd"/>
      <w:r w:rsidRPr="006D6392">
        <w:rPr>
          <w:rFonts w:ascii="Arial" w:hAnsi="Arial" w:cs="Arial"/>
          <w:color w:val="000000" w:themeColor="text1"/>
        </w:rPr>
        <w:t>ХБ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содержание ионов должно быть исследовано для определения влияния на новый антимикробный препарат специфических катионов или анионов, или концентрации ионов, находящихся в среде, которые </w:t>
      </w:r>
      <w:r w:rsidRPr="006D6392">
        <w:rPr>
          <w:rFonts w:ascii="Arial" w:hAnsi="Arial" w:cs="Arial"/>
          <w:color w:val="000000" w:themeColor="text1"/>
        </w:rPr>
        <w:lastRenderedPageBreak/>
        <w:t xml:space="preserve">отличаются от диапазонов, предложенных в настоящих Технических требованиях. Должны быть идентифицированы другие компоненты среды, которые могут повлиять на результаты </w:t>
      </w:r>
      <w:proofErr w:type="spellStart"/>
      <w:r w:rsidRPr="006D6392">
        <w:rPr>
          <w:rFonts w:ascii="Arial" w:hAnsi="Arial" w:cs="Arial"/>
          <w:color w:val="000000" w:themeColor="text1"/>
        </w:rPr>
        <w:t>in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vitro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контроля качества исследований на </w:t>
      </w:r>
      <w:proofErr w:type="spellStart"/>
      <w:r w:rsidRPr="006D6392">
        <w:rPr>
          <w:rFonts w:ascii="Arial" w:hAnsi="Arial" w:cs="Arial"/>
          <w:color w:val="000000" w:themeColor="text1"/>
        </w:rPr>
        <w:t>антибиотикочувствительность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. При необходимости должны быть внесены корректировки для достижения стабильных воспроизводимых результатов исследований, и эта информация должна быть широко распространена среди других лиц, участвующих в исследовании антимикробной чувствительности и контроле качества, включая подкомитет CLSI по исследованию антимикробной чувствительности и EUCAST. Эти действия относятся к ответственности компании, производящий новый препарат. </w:t>
      </w:r>
    </w:p>
    <w:p w:rsidR="00B9408A" w:rsidRPr="006D6392" w:rsidRDefault="00B9408A">
      <w:pPr>
        <w:suppressAutoHyphens w:val="0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br w:type="page"/>
      </w:r>
    </w:p>
    <w:p w:rsidR="009217BF" w:rsidRPr="006D6392" w:rsidRDefault="009217BF" w:rsidP="00CE0B31">
      <w:pPr>
        <w:suppressAutoHyphens w:val="0"/>
        <w:spacing w:line="360" w:lineRule="auto"/>
        <w:jc w:val="center"/>
        <w:rPr>
          <w:rFonts w:ascii="Arial" w:hAnsi="Arial" w:cs="Arial"/>
          <w:b/>
          <w:color w:val="000000" w:themeColor="text1"/>
        </w:rPr>
      </w:pPr>
      <w:r w:rsidRPr="006D6392">
        <w:rPr>
          <w:rFonts w:ascii="Arial" w:hAnsi="Arial" w:cs="Arial"/>
          <w:b/>
          <w:color w:val="000000" w:themeColor="text1"/>
        </w:rPr>
        <w:lastRenderedPageBreak/>
        <w:t>Приложение A</w:t>
      </w:r>
    </w:p>
    <w:p w:rsidR="009217BF" w:rsidRPr="006D6392" w:rsidRDefault="009217BF" w:rsidP="00CE0B31">
      <w:pPr>
        <w:suppressAutoHyphens w:val="0"/>
        <w:spacing w:line="360" w:lineRule="auto"/>
        <w:jc w:val="center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(информационное)</w:t>
      </w:r>
    </w:p>
    <w:p w:rsidR="009217BF" w:rsidRPr="006D6392" w:rsidRDefault="009217BF" w:rsidP="00CE0B31">
      <w:pPr>
        <w:suppressAutoHyphens w:val="0"/>
        <w:spacing w:line="36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6D6392">
        <w:rPr>
          <w:rFonts w:ascii="Arial" w:hAnsi="Arial" w:cs="Arial"/>
          <w:b/>
          <w:bCs/>
          <w:color w:val="000000" w:themeColor="text1"/>
        </w:rPr>
        <w:t xml:space="preserve">Среда </w:t>
      </w:r>
      <w:proofErr w:type="spellStart"/>
      <w:r w:rsidR="00063991">
        <w:rPr>
          <w:rFonts w:ascii="Arial" w:hAnsi="Arial" w:cs="Arial"/>
          <w:b/>
          <w:bCs/>
          <w:color w:val="000000" w:themeColor="text1"/>
        </w:rPr>
        <w:t>Mueller-Hinton</w:t>
      </w:r>
      <w:proofErr w:type="spellEnd"/>
    </w:p>
    <w:p w:rsidR="009217BF" w:rsidRPr="00CE0B31" w:rsidRDefault="009217BF" w:rsidP="00CE0B31">
      <w:pPr>
        <w:suppressAutoHyphens w:val="0"/>
        <w:spacing w:line="276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CE0B31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>A</w:t>
      </w:r>
      <w:r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>.1 Бульон</w:t>
      </w:r>
    </w:p>
    <w:p w:rsidR="009217BF" w:rsidRPr="00CE0B31" w:rsidRDefault="009217BF" w:rsidP="00CE0B31">
      <w:pPr>
        <w:suppressAutoHyphens w:val="0"/>
        <w:spacing w:line="276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CE0B31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>Table</w:t>
      </w:r>
      <w:r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CE0B31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>A</w:t>
      </w:r>
      <w:r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.1 — Эффекты </w:t>
      </w:r>
      <w:proofErr w:type="spellStart"/>
      <w:r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>дегидратированного</w:t>
      </w:r>
      <w:proofErr w:type="spellEnd"/>
      <w:r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бульона </w:t>
      </w:r>
      <w:proofErr w:type="spellStart"/>
      <w:r w:rsidR="00063991"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>Mueller-Hinton</w:t>
      </w:r>
      <w:proofErr w:type="spellEnd"/>
      <w:r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6798"/>
      </w:tblGrid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  <w:t>Антимикробные</w:t>
            </w:r>
            <w:proofErr w:type="spellEnd"/>
            <w:r w:rsidRPr="00CE0B3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E0B3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  <w:t>агенты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  <w:t>Замечания</w:t>
            </w:r>
            <w:proofErr w:type="spellEnd"/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Аминогликозиды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Предлагаемые концентрации кальция (от 20 мг/л до 25 мг/л) и магния (10 мг/л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to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12,5 мг/л) основаны на исследованиях [16][17] сравнивающих методы разведения в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агаре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бульоне </w:t>
            </w:r>
            <w:proofErr w:type="spellStart"/>
            <w:r w:rsidR="00063991"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Mueller-Hinton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в отношении клинический штаммов </w:t>
            </w:r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val="en-US"/>
              </w:rPr>
              <w:t>P</w:t>
            </w:r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. </w:t>
            </w:r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val="en-US"/>
              </w:rPr>
              <w:t>aeruginosa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Карбапенемы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Хотя для роста необходимы следовые количества цинка, концентрация цинка должна быть ниже 3 мг / л, чтобы избежать ложных результатов устойчивости [9]. Известно, что это верно для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имипенема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может применяться к другим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карбапенемам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Даптомицин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В среду необходимо добавить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Ca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2+ до конечной концентрации 50 мг/л. 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Ингибиторы метаболизма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фолата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(Сульфаниламиды и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триметоприм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Концентрация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тимидина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по массе должна быть меньше 0,03 мг/</w:t>
            </w:r>
            <w:proofErr w:type="gram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л</w:t>
            </w:r>
            <w:proofErr w:type="gram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что обеспечивает величину МПК &lt;0,5/9,5 мг/л, получаемую при исследовании чувствительности </w:t>
            </w:r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val="en-US"/>
              </w:rPr>
              <w:t>Enterococcus</w:t>
            </w:r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val="en-US"/>
              </w:rPr>
              <w:t>faecalis</w:t>
            </w:r>
            <w:proofErr w:type="spellEnd"/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WDCM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00087 к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триметоприму-сульфаметоксазолу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Фосфомицин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В качестве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референтного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метода следует использовать только разведение в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агаре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поскольку разведение в бульоне ненадежно. </w:t>
            </w:r>
          </w:p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[4][6].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Глицилциклины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eg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.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Тигециклин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)</w:t>
            </w:r>
          </w:p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Следует использовать свежеприготовленную (&lt;12 ч) исследуемую среду. Это может также относиться к другим антимикробным препаратам этого класса. Хотя для роста необходимы следовые количества марганца, концентрация должна быть ниже 8 мг / л, чтобы избежать  результатов ложной устойчивости [8]. Это должно определяться значением МПК в пределах допустимого диапазона при исследовании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Escherichia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coli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WDCM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00013 с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тигециклином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proofErr w:type="gram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Липогликопептиды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eg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proofErr w:type="gram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Далбаванцин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Оритаванцин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) </w:t>
            </w:r>
            <w:proofErr w:type="gram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В бульон необходимо внести 0,002 %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v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/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v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полисорбата-80. Это может также относиться к другим антимикробным препаратам этого класса. 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Oxacillin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При исследовании с оксациллином для выявления у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Staphylococcus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spp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устойчивости к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метициллину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необходимо внесение в бульон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NaCl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в конечной концентрации 20 г/л.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Хинолоны</w:t>
            </w:r>
            <w:proofErr w:type="spellEnd"/>
          </w:p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Данные исследований активности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хинолонов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в моче человека позволяют предположить, что снижение активности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хинолонов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может происходить, когда концентрации магния составляют от 8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мМ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до 10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мМ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(от 100 до 150 мг / л) в среде </w:t>
            </w:r>
            <w:proofErr w:type="spellStart"/>
            <w:r w:rsidR="00063991"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Mueller-Hinton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[18]. Другие данные указывают на то, что от 35 мг/л до 60 мг/л магния вызывают увеличение МПК для нескольких видов бактерий.  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[19][20].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lastRenderedPageBreak/>
              <w:t>Тетрациклины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Было показано, что </w:t>
            </w:r>
            <w:proofErr w:type="gram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бульоне</w:t>
            </w:r>
            <w:proofErr w:type="gram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в </w:t>
            </w:r>
            <w:proofErr w:type="spellStart"/>
            <w:r w:rsidR="00063991"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Mueller-Hinton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содержащем 50 мг / л кальция и 25 мг / л магния, МПК для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E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coli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P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aeruginosa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других видов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Pseudomonas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увеличивается в 2–32 раза.  [12]. 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Все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Исследование микроорганизмов со сложными питательными потребностями, таких стрептококки и </w:t>
            </w:r>
            <w:proofErr w:type="spellStart"/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val="en-US"/>
              </w:rPr>
              <w:t>Haemophilus</w:t>
            </w:r>
            <w:proofErr w:type="spellEnd"/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spp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. требует использования ростовых добавок (</w:t>
            </w:r>
            <w:proofErr w:type="gram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например</w:t>
            </w:r>
            <w:proofErr w:type="gram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крови или компонентов крови) [4][6].</w:t>
            </w:r>
          </w:p>
        </w:tc>
      </w:tr>
    </w:tbl>
    <w:p w:rsidR="009217BF" w:rsidRPr="00CE0B31" w:rsidRDefault="009217BF" w:rsidP="00CE0B31">
      <w:pPr>
        <w:suppressAutoHyphens w:val="0"/>
        <w:spacing w:line="276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CE0B31">
        <w:rPr>
          <w:rFonts w:ascii="Arial" w:hAnsi="Arial" w:cs="Arial"/>
          <w:color w:val="000000" w:themeColor="text1"/>
          <w:sz w:val="22"/>
          <w:szCs w:val="22"/>
        </w:rPr>
        <w:br/>
      </w:r>
    </w:p>
    <w:p w:rsidR="009217BF" w:rsidRPr="00CE0B31" w:rsidRDefault="009217BF" w:rsidP="00CE0B31">
      <w:pPr>
        <w:suppressAutoHyphens w:val="0"/>
        <w:spacing w:line="276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CE0B31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>A</w:t>
      </w:r>
      <w:r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.2 </w:t>
      </w:r>
      <w:proofErr w:type="spellStart"/>
      <w:r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>Агар</w:t>
      </w:r>
      <w:proofErr w:type="spellEnd"/>
      <w:r w:rsidRPr="00CE0B31">
        <w:rPr>
          <w:rFonts w:ascii="Arial" w:hAnsi="Arial" w:cs="Arial"/>
          <w:color w:val="000000" w:themeColor="text1"/>
          <w:sz w:val="22"/>
          <w:szCs w:val="22"/>
        </w:rPr>
        <w:br/>
      </w:r>
      <w:r w:rsidRPr="00CE0B31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>Table</w:t>
      </w:r>
      <w:r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r w:rsidRPr="00CE0B31">
        <w:rPr>
          <w:rFonts w:ascii="Arial" w:hAnsi="Arial" w:cs="Arial"/>
          <w:b/>
          <w:bCs/>
          <w:color w:val="000000" w:themeColor="text1"/>
          <w:sz w:val="22"/>
          <w:szCs w:val="22"/>
          <w:lang w:val="en-US"/>
        </w:rPr>
        <w:t>A</w:t>
      </w:r>
      <w:r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.1 — Эффекты </w:t>
      </w:r>
      <w:proofErr w:type="spellStart"/>
      <w:r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>дегидратированного</w:t>
      </w:r>
      <w:proofErr w:type="spellEnd"/>
      <w:r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>агара</w:t>
      </w:r>
      <w:proofErr w:type="spellEnd"/>
      <w:r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  <w:proofErr w:type="spellStart"/>
      <w:r w:rsidR="00063991"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>Mueller-Hinton</w:t>
      </w:r>
      <w:proofErr w:type="spellEnd"/>
      <w:r w:rsidRPr="00CE0B31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6798"/>
      </w:tblGrid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  <w:t>Антимикробные</w:t>
            </w:r>
            <w:proofErr w:type="spellEnd"/>
            <w:r w:rsidRPr="00CE0B3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E0B3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  <w:t>агенты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  <w:t>Замечания</w:t>
            </w:r>
            <w:proofErr w:type="spellEnd"/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Аминогликозиды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Среда должна иметь концентрации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Ca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 и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Mg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2, обеспечивающие значения диаметра зоны в пределах ожидаемого диапазона для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Pseudomonas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aeruginosa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с антимикробными агентами класса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аминогликозидов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что проявляется диаметром зоны в допустимом диапазоне с гентамицином и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Pseudomonas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aeruginosa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WDCM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00025.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Карбапенемы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Хотя для роста необходимы следовые количества цинка, концентрация цинка должна быть ниже 3 мг / л, чтобы избежать ложных результатов устойчивости [9]. Известно, что это верно для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имипенема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может применяться к другим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карбапенемам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Даптомицин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proofErr w:type="gram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Диско-диффузионный</w:t>
            </w:r>
            <w:proofErr w:type="gram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метод не применим 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Ингибиторы метаболизма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фолата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(Сульфаниламиды и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триметоприм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Концентрация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тимидина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по массе должна быть меньше 0,03 мг/</w:t>
            </w:r>
            <w:proofErr w:type="gram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л</w:t>
            </w:r>
            <w:proofErr w:type="gram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что проявляется четкой зоной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ингибиции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роста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триметоприма-сульфаметоксазола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≥ 20 мм в отношении </w:t>
            </w:r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val="en-US"/>
              </w:rPr>
              <w:t>E</w:t>
            </w:r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val="en-US"/>
              </w:rPr>
              <w:t>faecalis</w:t>
            </w:r>
            <w:proofErr w:type="spellEnd"/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WDCM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00210</w:t>
            </w:r>
          </w:p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или диаметром зоны в пределах приемлемого диапазона для </w:t>
            </w:r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val="en-US"/>
              </w:rPr>
              <w:t>E</w:t>
            </w:r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val="en-US"/>
              </w:rPr>
              <w:t>faecalis</w:t>
            </w:r>
            <w:proofErr w:type="spellEnd"/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WDCM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00087. 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Фосфомицин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В качестве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референтного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метода следует использовать только разведение в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агаре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поскольку разведение в бульоне ненадежно.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[4][6].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 xml:space="preserve"> В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исследуемый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агар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необходимо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вносить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 xml:space="preserve"> 25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мг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/л глюкозо-6-фосфата.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Глицилциклины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eg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.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Тигециклин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)</w:t>
            </w:r>
          </w:p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Следует использовать свежеприготовленную (&lt;12 ч) исследуемую среду. Это может также относиться к другим антимикробным препаратам этого класса. Хотя для роста необходимы следовые количества марганца, концентрация должна быть ниже 8 мг / л, чтобы избежать результатов ложной устойчивости [8]. Это должно определяться значениями в пределах допустимого диапазона при исследовании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Escherichia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coli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WDCM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00013 с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тигециклином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Хинолоны</w:t>
            </w:r>
            <w:proofErr w:type="spellEnd"/>
          </w:p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Данные указывают, что магний в концентрации от 35 мг/л до 60 мг/л вызывает уменьшение зоны задержки роста и увеличение МПК для нескольких видов бактерий.  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[19][20].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>Тетрациклины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Среда должна содержать кальций и магний в концентрациях, обеспечивающих зоны задержки роста в пределах ожидаемого диапазона для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P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aeruginosa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антимикробных агентов класса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аминогликозидов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что проявляется в диаметре зоны задержки роста с гентамицином и </w:t>
            </w:r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val="en-US"/>
              </w:rPr>
              <w:t>Pseudomonas</w:t>
            </w:r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val="en-US"/>
              </w:rPr>
              <w:t>aeruginosa</w:t>
            </w:r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WDCM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00025 в приемлемом диапазоне.  </w:t>
            </w: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t xml:space="preserve">[12].  </w:t>
            </w:r>
          </w:p>
        </w:tc>
      </w:tr>
      <w:tr w:rsidR="009217BF" w:rsidRPr="00CE0B31" w:rsidTr="009217BF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GB"/>
              </w:rPr>
              <w:lastRenderedPageBreak/>
              <w:t>Все</w:t>
            </w:r>
            <w:proofErr w:type="spellEnd"/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CE0B31">
            <w:pPr>
              <w:suppressAutoHyphens w:val="0"/>
              <w:spacing w:line="276" w:lineRule="auto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Исследование микроорганизмов со сложными питательными потребностями, таких стрептококки и </w:t>
            </w:r>
            <w:proofErr w:type="spellStart"/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  <w:lang w:val="en-US"/>
              </w:rPr>
              <w:t>Haemophilus</w:t>
            </w:r>
            <w:proofErr w:type="spellEnd"/>
            <w:r w:rsidRPr="00CE0B31">
              <w:rPr>
                <w:rFonts w:ascii="Arial" w:hAnsi="Arial" w:cs="Arial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  <w:lang w:val="en-US"/>
              </w:rPr>
              <w:t>spp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. требует использования ростовых добавок (</w:t>
            </w:r>
            <w:proofErr w:type="gramStart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>например</w:t>
            </w:r>
            <w:proofErr w:type="gramEnd"/>
            <w:r w:rsidRPr="00CE0B31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крови или компонентов крови) [4][6].</w:t>
            </w:r>
          </w:p>
        </w:tc>
      </w:tr>
    </w:tbl>
    <w:p w:rsidR="00CE0B31" w:rsidRDefault="009217BF" w:rsidP="00CE0B31">
      <w:pPr>
        <w:pageBreakBefore/>
        <w:suppressAutoHyphens w:val="0"/>
        <w:spacing w:line="36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6D6392">
        <w:rPr>
          <w:rFonts w:ascii="Arial" w:hAnsi="Arial" w:cs="Arial"/>
          <w:b/>
          <w:bCs/>
          <w:color w:val="000000" w:themeColor="text1"/>
        </w:rPr>
        <w:lastRenderedPageBreak/>
        <w:t xml:space="preserve">Приложение </w:t>
      </w:r>
      <w:r w:rsidRPr="006D6392">
        <w:rPr>
          <w:rFonts w:ascii="Arial" w:hAnsi="Arial" w:cs="Arial"/>
          <w:b/>
          <w:bCs/>
          <w:color w:val="000000" w:themeColor="text1"/>
          <w:lang w:val="en-US"/>
        </w:rPr>
        <w:t>B</w:t>
      </w:r>
      <w:r w:rsidRPr="006D6392">
        <w:rPr>
          <w:rFonts w:ascii="Arial" w:hAnsi="Arial" w:cs="Arial"/>
          <w:color w:val="000000" w:themeColor="text1"/>
        </w:rPr>
        <w:br/>
        <w:t>(информационное)</w:t>
      </w:r>
      <w:r w:rsidRPr="006D6392">
        <w:rPr>
          <w:rFonts w:ascii="Arial" w:hAnsi="Arial" w:cs="Arial"/>
          <w:color w:val="000000" w:themeColor="text1"/>
        </w:rPr>
        <w:br/>
      </w:r>
      <w:r w:rsidRPr="006D6392">
        <w:rPr>
          <w:rFonts w:ascii="Arial" w:hAnsi="Arial" w:cs="Arial"/>
          <w:b/>
          <w:bCs/>
          <w:color w:val="000000" w:themeColor="text1"/>
        </w:rPr>
        <w:t>Приготовление контрольных культур</w:t>
      </w:r>
    </w:p>
    <w:p w:rsidR="009217BF" w:rsidRPr="006D6392" w:rsidRDefault="009217BF" w:rsidP="00CE0B31">
      <w:pPr>
        <w:suppressAutoHyphens w:val="0"/>
        <w:spacing w:line="360" w:lineRule="auto"/>
        <w:ind w:firstLine="567"/>
        <w:jc w:val="both"/>
        <w:rPr>
          <w:rFonts w:ascii="Arial" w:hAnsi="Arial" w:cs="Arial"/>
          <w:b/>
          <w:bCs/>
          <w:color w:val="000000" w:themeColor="text1"/>
        </w:rPr>
      </w:pPr>
      <w:r w:rsidRPr="006D6392">
        <w:rPr>
          <w:rFonts w:ascii="Arial" w:hAnsi="Arial" w:cs="Arial"/>
          <w:b/>
          <w:bCs/>
          <w:color w:val="000000" w:themeColor="text1"/>
          <w:lang w:val="en-US"/>
        </w:rPr>
        <w:t>B</w:t>
      </w:r>
      <w:r w:rsidRPr="006D6392">
        <w:rPr>
          <w:rFonts w:ascii="Arial" w:hAnsi="Arial" w:cs="Arial"/>
          <w:b/>
          <w:bCs/>
          <w:color w:val="000000" w:themeColor="text1"/>
        </w:rPr>
        <w:t>.1 Стоковые культуры</w:t>
      </w:r>
    </w:p>
    <w:p w:rsidR="009217BF" w:rsidRPr="00CE0B31" w:rsidRDefault="009217BF" w:rsidP="00CE0B31">
      <w:pPr>
        <w:suppressAutoHyphens w:val="0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Исходные культуры готовят из </w:t>
      </w:r>
      <w:proofErr w:type="spellStart"/>
      <w:r w:rsidRPr="006D6392">
        <w:rPr>
          <w:rFonts w:ascii="Arial" w:hAnsi="Arial" w:cs="Arial"/>
          <w:color w:val="000000" w:themeColor="text1"/>
        </w:rPr>
        <w:t>лиофилизированных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культур, полученных из признанной национальной коллекции культур. Культуры восстанавливаются в соответствии с процедурами, определенными коллекцией культур и поддерживается таким образом, чтобы свести к минимуму селекцию генетических вариантов. Для одного и того же микроорганизма из разных коллекций культур ниже приведены альтернативные номера (если они имеются). </w:t>
      </w:r>
      <w:r w:rsidRPr="00CE0B31">
        <w:rPr>
          <w:rFonts w:ascii="Arial" w:hAnsi="Arial" w:cs="Arial"/>
          <w:color w:val="000000" w:themeColor="text1"/>
        </w:rPr>
        <w:t xml:space="preserve">Ниже приведены культуры, необходимые для целей настоящего </w:t>
      </w:r>
      <w:r w:rsidR="00CE0B31">
        <w:rPr>
          <w:rFonts w:ascii="Arial" w:hAnsi="Arial" w:cs="Arial"/>
          <w:color w:val="000000" w:themeColor="text1"/>
        </w:rPr>
        <w:t>стандарта</w:t>
      </w:r>
      <w:r w:rsidRPr="00CE0B31">
        <w:rPr>
          <w:rFonts w:ascii="Arial" w:hAnsi="Arial" w:cs="Arial"/>
          <w:color w:val="000000" w:themeColor="text1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3"/>
        <w:gridCol w:w="7082"/>
      </w:tblGrid>
      <w:tr w:rsidR="009217BF" w:rsidRPr="00063991" w:rsidTr="009217B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CE0B31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>Staphylococcus aureus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WDCMa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00131;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ATCC®b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29213;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NCTC®c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12973;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CIPd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103429;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DSMe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2569;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br/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CCUGf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15915;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CECTg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794</w:t>
            </w:r>
          </w:p>
        </w:tc>
      </w:tr>
      <w:tr w:rsidR="009217BF" w:rsidRPr="00063991" w:rsidTr="009217B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CE0B31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>Staphylococcus aureus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WDCMa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00034;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ATCC®b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25923;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NCTC®c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12981;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CIPd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76.25;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DSMe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1104;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br/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CCUGf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17621;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CECTg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435</w:t>
            </w:r>
          </w:p>
        </w:tc>
      </w:tr>
      <w:tr w:rsidR="009217BF" w:rsidRPr="006D6392" w:rsidTr="009217B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r w:rsidRPr="00CE0B31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>Staphylococcus aureus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WDCMa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00211;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ATCC®b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43300</w:t>
            </w:r>
          </w:p>
        </w:tc>
      </w:tr>
      <w:tr w:rsidR="009217BF" w:rsidRPr="006D6392" w:rsidTr="009217B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</w:rPr>
            </w:pPr>
            <w:proofErr w:type="spellStart"/>
            <w:r w:rsidRPr="00CE0B31">
              <w:rPr>
                <w:rFonts w:ascii="Arial" w:hAnsi="Arial" w:cs="Arial"/>
                <w:i/>
                <w:iCs/>
                <w:color w:val="000000" w:themeColor="text1"/>
                <w:lang w:val="en-GB"/>
              </w:rPr>
              <w:t>или</w:t>
            </w:r>
            <w:proofErr w:type="spellEnd"/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r w:rsidRPr="00CE0B31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>Staphylococcus aureus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WDCMa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00212;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NCTC®c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12493</w:t>
            </w:r>
          </w:p>
        </w:tc>
      </w:tr>
      <w:tr w:rsidR="009217BF" w:rsidRPr="00063991" w:rsidTr="009217B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r w:rsidRPr="00CE0B31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>Escherichia coli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WDCMa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00013;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ATCC®b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25922;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NCTC®c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12241;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CIPd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76.24;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DSMe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1103;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br/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CCUGf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17620;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CECTg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434</w:t>
            </w:r>
          </w:p>
        </w:tc>
      </w:tr>
      <w:tr w:rsidR="009217BF" w:rsidRPr="00063991" w:rsidTr="009217B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r w:rsidRPr="00CE0B31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>Pseudomonas aeruginosa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WDCMa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00025;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ATCC®b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27853;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NCTC®c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12903;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CIPd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76.110;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DSMe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1117;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br/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CCUGf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17619;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CECTg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108</w:t>
            </w:r>
          </w:p>
        </w:tc>
      </w:tr>
      <w:tr w:rsidR="009217BF" w:rsidRPr="00063991" w:rsidTr="009217B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r w:rsidRPr="00CE0B31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Enterococcus </w:t>
            </w:r>
            <w:proofErr w:type="spellStart"/>
            <w:r w:rsidRPr="00CE0B31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>faecalis</w:t>
            </w:r>
            <w:proofErr w:type="spellEnd"/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WDCMa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00087;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ATCC®b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29212;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NCTC®c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12697;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CIPd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103214;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DSMe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2570;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br/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CCUGf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9997;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CECTg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795</w:t>
            </w:r>
          </w:p>
        </w:tc>
      </w:tr>
      <w:tr w:rsidR="009217BF" w:rsidRPr="006D6392" w:rsidTr="009217B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</w:rPr>
            </w:pPr>
            <w:proofErr w:type="spellStart"/>
            <w:r w:rsidRPr="00CE0B31">
              <w:rPr>
                <w:rFonts w:ascii="Arial" w:hAnsi="Arial" w:cs="Arial"/>
                <w:i/>
                <w:iCs/>
                <w:color w:val="000000" w:themeColor="text1"/>
                <w:lang w:val="en-GB"/>
              </w:rPr>
              <w:t>или</w:t>
            </w:r>
            <w:proofErr w:type="spellEnd"/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r w:rsidRPr="00CE0B31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Enterococcus </w:t>
            </w:r>
            <w:proofErr w:type="spellStart"/>
            <w:r w:rsidRPr="00CE0B31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>faecalis</w:t>
            </w:r>
            <w:proofErr w:type="spellEnd"/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WDCMa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00210; 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ATCC®b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 xml:space="preserve"> 33186</w:t>
            </w:r>
          </w:p>
        </w:tc>
      </w:tr>
      <w:tr w:rsidR="009217BF" w:rsidRPr="006D6392" w:rsidTr="009217BF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a</w:t>
            </w:r>
            <w:proofErr w:type="gramEnd"/>
            <w:r w:rsidRPr="00CE0B31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WDCM</w:t>
            </w:r>
            <w:r w:rsidRPr="00CE0B31">
              <w:rPr>
                <w:rFonts w:ascii="Arial" w:hAnsi="Arial" w:cs="Arial"/>
                <w:color w:val="000000" w:themeColor="text1"/>
              </w:rPr>
              <w:t xml:space="preserve">, Всемирный центр данных микроорганизмов, 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www</w:t>
            </w:r>
            <w:r w:rsidRPr="00CE0B31">
              <w:rPr>
                <w:rFonts w:ascii="Arial" w:hAnsi="Arial" w:cs="Arial"/>
                <w:color w:val="000000" w:themeColor="text1"/>
              </w:rPr>
              <w:t>.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wdcm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</w:rPr>
              <w:t>.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org</w:t>
            </w:r>
            <w:r w:rsidRPr="00CE0B31">
              <w:rPr>
                <w:rFonts w:ascii="Arial" w:hAnsi="Arial" w:cs="Arial"/>
                <w:color w:val="000000" w:themeColor="text1"/>
              </w:rPr>
              <w:t>.</w:t>
            </w:r>
            <w:r w:rsidRPr="00CE0B31">
              <w:rPr>
                <w:rFonts w:ascii="Arial" w:hAnsi="Arial" w:cs="Arial"/>
                <w:color w:val="000000" w:themeColor="text1"/>
              </w:rPr>
              <w:br/>
            </w:r>
            <w:proofErr w:type="gram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lastRenderedPageBreak/>
              <w:t>b</w:t>
            </w:r>
            <w:proofErr w:type="gramEnd"/>
            <w:r w:rsidRPr="00CE0B31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ATCC</w:t>
            </w:r>
            <w:r w:rsidRPr="00CE0B31">
              <w:rPr>
                <w:rFonts w:ascii="Arial" w:hAnsi="Arial" w:cs="Arial"/>
                <w:color w:val="000000" w:themeColor="text1"/>
              </w:rPr>
              <w:t xml:space="preserve"> ‘это торговая марка продукции, поставляемой Американской коллекцией типовых культур, </w:t>
            </w:r>
            <w:hyperlink w:history="1">
              <w:r w:rsidRPr="00CE0B31">
                <w:rPr>
                  <w:rStyle w:val="aff1"/>
                  <w:rFonts w:ascii="Arial" w:hAnsi="Arial" w:cs="Arial"/>
                  <w:color w:val="000000" w:themeColor="text1"/>
                  <w:lang w:val="en-US"/>
                </w:rPr>
                <w:t>www</w:t>
              </w:r>
              <w:r w:rsidRPr="00CE0B31">
                <w:rPr>
                  <w:rStyle w:val="aff1"/>
                  <w:rFonts w:ascii="Arial" w:hAnsi="Arial" w:cs="Arial"/>
                  <w:color w:val="000000" w:themeColor="text1"/>
                </w:rPr>
                <w:t>.</w:t>
              </w:r>
              <w:proofErr w:type="spellStart"/>
              <w:r w:rsidRPr="00CE0B31">
                <w:rPr>
                  <w:rStyle w:val="aff1"/>
                  <w:rFonts w:ascii="Arial" w:hAnsi="Arial" w:cs="Arial"/>
                  <w:color w:val="000000" w:themeColor="text1"/>
                  <w:lang w:val="en-US"/>
                </w:rPr>
                <w:t>atcc</w:t>
              </w:r>
              <w:proofErr w:type="spellEnd"/>
              <w:r w:rsidRPr="00CE0B31">
                <w:rPr>
                  <w:rStyle w:val="aff1"/>
                  <w:rFonts w:ascii="Arial" w:hAnsi="Arial" w:cs="Arial"/>
                  <w:color w:val="000000" w:themeColor="text1"/>
                </w:rPr>
                <w:t>.</w:t>
              </w:r>
              <w:r w:rsidRPr="00CE0B31">
                <w:rPr>
                  <w:rStyle w:val="aff1"/>
                  <w:rFonts w:ascii="Arial" w:hAnsi="Arial" w:cs="Arial"/>
                  <w:color w:val="000000" w:themeColor="text1"/>
                  <w:lang w:val="en-US"/>
                </w:rPr>
                <w:t>org</w:t>
              </w:r>
              <w:r w:rsidRPr="00CE0B31">
                <w:rPr>
                  <w:rStyle w:val="aff1"/>
                  <w:rFonts w:ascii="Arial" w:hAnsi="Arial" w:cs="Arial"/>
                  <w:color w:val="000000" w:themeColor="text1"/>
                </w:rPr>
                <w:t xml:space="preserve">. </w:t>
              </w:r>
            </w:hyperlink>
            <w:r w:rsidRPr="00CE0B31">
              <w:rPr>
                <w:rFonts w:ascii="Arial" w:hAnsi="Arial" w:cs="Arial"/>
                <w:color w:val="000000" w:themeColor="text1"/>
              </w:rPr>
              <w:t xml:space="preserve">Эта информация представлена для удобства пользователей </w:t>
            </w:r>
            <w:r w:rsidR="00C70B0F" w:rsidRPr="00CE0B31">
              <w:rPr>
                <w:rFonts w:ascii="Arial" w:hAnsi="Arial" w:cs="Arial"/>
                <w:color w:val="000000" w:themeColor="text1"/>
              </w:rPr>
              <w:t>настоящим стандартом</w:t>
            </w:r>
            <w:r w:rsidRPr="00CE0B31">
              <w:rPr>
                <w:rFonts w:ascii="Arial" w:hAnsi="Arial" w:cs="Arial"/>
                <w:color w:val="000000" w:themeColor="text1"/>
              </w:rPr>
              <w:t xml:space="preserve"> и не является подтверждением торгового названия со стороны ИСО. Как указано ниже могут быть использованы эквивалентные продукты</w:t>
            </w:r>
          </w:p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</w:t>
            </w:r>
            <w:proofErr w:type="gramEnd"/>
            <w:r w:rsidRPr="00CE0B31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NCTC</w:t>
            </w:r>
            <w:r w:rsidRPr="00CE0B31">
              <w:rPr>
                <w:rFonts w:ascii="Arial" w:hAnsi="Arial" w:cs="Arial"/>
                <w:color w:val="000000" w:themeColor="text1"/>
              </w:rPr>
              <w:t xml:space="preserve"> это торговая марка продукции, поставляемой Национальной Эта информация представлена для удобства пользователей </w:t>
            </w:r>
            <w:r w:rsidR="00C70B0F" w:rsidRPr="00CE0B31">
              <w:rPr>
                <w:rFonts w:ascii="Arial" w:hAnsi="Arial" w:cs="Arial"/>
                <w:color w:val="000000" w:themeColor="text1"/>
              </w:rPr>
              <w:t>настоящего стандарта</w:t>
            </w:r>
            <w:r w:rsidRPr="00CE0B31">
              <w:rPr>
                <w:rFonts w:ascii="Arial" w:hAnsi="Arial" w:cs="Arial"/>
                <w:color w:val="000000" w:themeColor="text1"/>
              </w:rPr>
              <w:t xml:space="preserve"> и не является подтверждением торгового названия со стороны ИСО. Как указано ниже могут быть использованы эквивалентные продукты</w:t>
            </w:r>
          </w:p>
          <w:p w:rsidR="009217BF" w:rsidRPr="00CE0B31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gram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d</w:t>
            </w:r>
            <w:proofErr w:type="gramEnd"/>
            <w:r w:rsidRPr="00CE0B31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CIP</w:t>
            </w:r>
            <w:r w:rsidRPr="00CE0B31">
              <w:rPr>
                <w:rFonts w:ascii="Arial" w:hAnsi="Arial" w:cs="Arial"/>
                <w:color w:val="000000" w:themeColor="text1"/>
              </w:rPr>
              <w:t xml:space="preserve">, Коллекция института Пастера, 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www</w:t>
            </w:r>
            <w:r w:rsidRPr="00CE0B31">
              <w:rPr>
                <w:rFonts w:ascii="Arial" w:hAnsi="Arial" w:cs="Arial"/>
                <w:color w:val="000000" w:themeColor="text1"/>
              </w:rPr>
              <w:t>.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pasteur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</w:rPr>
              <w:t>.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fr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</w:rPr>
              <w:t>.</w:t>
            </w:r>
            <w:r w:rsidRPr="00CE0B31">
              <w:rPr>
                <w:rFonts w:ascii="Arial" w:hAnsi="Arial" w:cs="Arial"/>
                <w:color w:val="000000" w:themeColor="text1"/>
              </w:rPr>
              <w:br/>
            </w:r>
            <w:proofErr w:type="gram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e</w:t>
            </w:r>
            <w:proofErr w:type="gramEnd"/>
            <w:r w:rsidRPr="00CE0B31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DSMZ</w:t>
            </w:r>
            <w:r w:rsidRPr="00CE0B31">
              <w:rPr>
                <w:rFonts w:ascii="Arial" w:hAnsi="Arial" w:cs="Arial"/>
                <w:color w:val="000000" w:themeColor="text1"/>
              </w:rPr>
              <w:t xml:space="preserve">, Немецкая коллекция штаммов микроорганизмов и клеточных культур, 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www</w:t>
            </w:r>
            <w:r w:rsidRPr="00CE0B31">
              <w:rPr>
                <w:rFonts w:ascii="Arial" w:hAnsi="Arial" w:cs="Arial"/>
                <w:color w:val="000000" w:themeColor="text1"/>
              </w:rPr>
              <w:t>.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dsmz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</w:rPr>
              <w:t>.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de</w:t>
            </w:r>
            <w:r w:rsidRPr="00CE0B31">
              <w:rPr>
                <w:rFonts w:ascii="Arial" w:hAnsi="Arial" w:cs="Arial"/>
                <w:color w:val="000000" w:themeColor="text1"/>
              </w:rPr>
              <w:t>.</w:t>
            </w:r>
            <w:r w:rsidRPr="00CE0B31">
              <w:rPr>
                <w:rFonts w:ascii="Arial" w:hAnsi="Arial" w:cs="Arial"/>
                <w:color w:val="000000" w:themeColor="text1"/>
              </w:rPr>
              <w:br/>
            </w:r>
            <w:proofErr w:type="gram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f</w:t>
            </w:r>
            <w:proofErr w:type="gramEnd"/>
            <w:r w:rsidRPr="00CE0B31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CCUG</w:t>
            </w:r>
            <w:r w:rsidRPr="00CE0B31">
              <w:rPr>
                <w:rFonts w:ascii="Arial" w:hAnsi="Arial" w:cs="Arial"/>
                <w:color w:val="000000" w:themeColor="text1"/>
              </w:rPr>
              <w:t xml:space="preserve">, Коллекция культур университета Гетеборга, 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www</w:t>
            </w:r>
            <w:r w:rsidRPr="00CE0B31">
              <w:rPr>
                <w:rFonts w:ascii="Arial" w:hAnsi="Arial" w:cs="Arial"/>
                <w:color w:val="000000" w:themeColor="text1"/>
              </w:rPr>
              <w:t>.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ccug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</w:rPr>
              <w:t>.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se</w:t>
            </w:r>
            <w:r w:rsidRPr="00CE0B31">
              <w:rPr>
                <w:rFonts w:ascii="Arial" w:hAnsi="Arial" w:cs="Arial"/>
                <w:color w:val="000000" w:themeColor="text1"/>
              </w:rPr>
              <w:t>.</w:t>
            </w:r>
            <w:r w:rsidRPr="00CE0B31">
              <w:rPr>
                <w:rFonts w:ascii="Arial" w:hAnsi="Arial" w:cs="Arial"/>
                <w:color w:val="000000" w:themeColor="text1"/>
              </w:rPr>
              <w:br/>
            </w:r>
            <w:proofErr w:type="gram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g</w:t>
            </w:r>
            <w:proofErr w:type="gramEnd"/>
            <w:r w:rsidRPr="00CE0B31">
              <w:rPr>
                <w:rFonts w:ascii="Arial" w:hAnsi="Arial" w:cs="Arial"/>
                <w:color w:val="000000" w:themeColor="text1"/>
              </w:rPr>
              <w:t xml:space="preserve"> 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CECT</w:t>
            </w:r>
            <w:r w:rsidRPr="00CE0B31">
              <w:rPr>
                <w:rFonts w:ascii="Arial" w:hAnsi="Arial" w:cs="Arial"/>
                <w:color w:val="000000" w:themeColor="text1"/>
              </w:rPr>
              <w:t xml:space="preserve">, Испанская коллекция типовых культур, 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www</w:t>
            </w:r>
            <w:r w:rsidRPr="00CE0B31">
              <w:rPr>
                <w:rFonts w:ascii="Arial" w:hAnsi="Arial" w:cs="Arial"/>
                <w:color w:val="000000" w:themeColor="text1"/>
              </w:rPr>
              <w:t>.</w:t>
            </w:r>
            <w:proofErr w:type="spellStart"/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cect</w:t>
            </w:r>
            <w:proofErr w:type="spellEnd"/>
            <w:r w:rsidRPr="00CE0B31">
              <w:rPr>
                <w:rFonts w:ascii="Arial" w:hAnsi="Arial" w:cs="Arial"/>
                <w:color w:val="000000" w:themeColor="text1"/>
              </w:rPr>
              <w:t>.</w:t>
            </w:r>
            <w:r w:rsidRPr="00CE0B31">
              <w:rPr>
                <w:rFonts w:ascii="Arial" w:hAnsi="Arial" w:cs="Arial"/>
                <w:color w:val="000000" w:themeColor="text1"/>
                <w:lang w:val="en-US"/>
              </w:rPr>
              <w:t>org</w:t>
            </w:r>
            <w:r w:rsidRPr="00CE0B31">
              <w:rPr>
                <w:rFonts w:ascii="Arial" w:hAnsi="Arial" w:cs="Arial"/>
                <w:color w:val="000000" w:themeColor="text1"/>
              </w:rPr>
              <w:t>.</w:t>
            </w:r>
          </w:p>
        </w:tc>
      </w:tr>
    </w:tbl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color w:val="000000" w:themeColor="text1"/>
        </w:rPr>
      </w:pP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proofErr w:type="gramStart"/>
      <w:r w:rsidRPr="006D6392">
        <w:rPr>
          <w:rFonts w:ascii="Arial" w:hAnsi="Arial" w:cs="Arial"/>
          <w:b/>
          <w:bCs/>
          <w:color w:val="000000" w:themeColor="text1"/>
          <w:lang w:val="en-GB"/>
        </w:rPr>
        <w:t>B</w:t>
      </w:r>
      <w:r w:rsidRPr="006D6392">
        <w:rPr>
          <w:rFonts w:ascii="Arial" w:hAnsi="Arial" w:cs="Arial"/>
          <w:b/>
          <w:bCs/>
          <w:color w:val="000000" w:themeColor="text1"/>
        </w:rPr>
        <w:t>.1.1 Приготовление начальной стоковой культуры</w:t>
      </w:r>
      <w:r w:rsidRPr="006D6392">
        <w:rPr>
          <w:rFonts w:ascii="Arial" w:hAnsi="Arial" w:cs="Arial"/>
          <w:b/>
          <w:bCs/>
          <w:color w:val="000000" w:themeColor="text1"/>
        </w:rPr>
        <w:br/>
      </w:r>
      <w:r w:rsidRPr="006D6392">
        <w:rPr>
          <w:rFonts w:ascii="Arial" w:hAnsi="Arial" w:cs="Arial"/>
          <w:color w:val="000000" w:themeColor="text1"/>
        </w:rPr>
        <w:t xml:space="preserve">Используя стерильную петлю или тампон, </w:t>
      </w:r>
      <w:proofErr w:type="spellStart"/>
      <w:r w:rsidRPr="006D6392">
        <w:rPr>
          <w:rFonts w:ascii="Arial" w:hAnsi="Arial" w:cs="Arial"/>
          <w:color w:val="000000" w:themeColor="text1"/>
        </w:rPr>
        <w:t>инокулируйте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одну или несколько чашек (в зависимости от количества замороженных пробирок, которые должны быть приготовлены) неселективного питательного </w:t>
      </w:r>
      <w:proofErr w:type="spellStart"/>
      <w:r w:rsidRPr="006D6392">
        <w:rPr>
          <w:rFonts w:ascii="Arial" w:hAnsi="Arial" w:cs="Arial"/>
          <w:color w:val="000000" w:themeColor="text1"/>
        </w:rPr>
        <w:t>агара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каждым контрольным микроорганизмом, перечисленным в </w:t>
      </w:r>
      <w:r w:rsidRPr="006D6392">
        <w:rPr>
          <w:rFonts w:ascii="Arial" w:hAnsi="Arial" w:cs="Arial"/>
          <w:color w:val="000000" w:themeColor="text1"/>
          <w:lang w:val="en-US"/>
        </w:rPr>
        <w:t>B</w:t>
      </w:r>
      <w:r w:rsidRPr="006D6392">
        <w:rPr>
          <w:rFonts w:ascii="Arial" w:hAnsi="Arial" w:cs="Arial"/>
          <w:color w:val="000000" w:themeColor="text1"/>
        </w:rPr>
        <w:t>.1.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Штрихуют каждую чашку, чтобы получить изолированные колонии. Инкубируйте чашки в течение 18-24 часов в соответствии с </w:t>
      </w:r>
      <w:r w:rsidRPr="006D6392">
        <w:rPr>
          <w:rFonts w:ascii="Arial" w:hAnsi="Arial" w:cs="Arial"/>
          <w:color w:val="000000" w:themeColor="text1"/>
          <w:lang w:val="en-US"/>
        </w:rPr>
        <w:t>ISO</w:t>
      </w:r>
      <w:r w:rsidRPr="006D6392">
        <w:rPr>
          <w:rFonts w:ascii="Arial" w:hAnsi="Arial" w:cs="Arial"/>
          <w:color w:val="000000" w:themeColor="text1"/>
        </w:rPr>
        <w:t xml:space="preserve"> 20776-1 при температуре от 34 ° </w:t>
      </w:r>
      <w:r w:rsidRPr="006D6392">
        <w:rPr>
          <w:rFonts w:ascii="Arial" w:hAnsi="Arial" w:cs="Arial"/>
          <w:color w:val="000000" w:themeColor="text1"/>
          <w:lang w:val="en-US"/>
        </w:rPr>
        <w:t>C</w:t>
      </w:r>
      <w:r w:rsidRPr="006D6392">
        <w:rPr>
          <w:rFonts w:ascii="Arial" w:hAnsi="Arial" w:cs="Arial"/>
          <w:color w:val="000000" w:themeColor="text1"/>
        </w:rPr>
        <w:t xml:space="preserve"> до 37 ° </w:t>
      </w:r>
      <w:r w:rsidRPr="006D6392">
        <w:rPr>
          <w:rFonts w:ascii="Arial" w:hAnsi="Arial" w:cs="Arial"/>
          <w:color w:val="000000" w:themeColor="text1"/>
          <w:lang w:val="en-US"/>
        </w:rPr>
        <w:t>C</w:t>
      </w:r>
      <w:r w:rsidRPr="006D6392">
        <w:rPr>
          <w:rFonts w:ascii="Arial" w:hAnsi="Arial" w:cs="Arial"/>
          <w:color w:val="000000" w:themeColor="text1"/>
        </w:rPr>
        <w:t xml:space="preserve"> в окружающем воздухе.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proofErr w:type="gramStart"/>
      <w:r w:rsidRPr="006D6392">
        <w:rPr>
          <w:rFonts w:ascii="Arial" w:hAnsi="Arial" w:cs="Arial"/>
          <w:b/>
          <w:bCs/>
          <w:color w:val="000000" w:themeColor="text1"/>
          <w:lang w:val="en-GB"/>
        </w:rPr>
        <w:t>B</w:t>
      </w:r>
      <w:r w:rsidRPr="006D6392">
        <w:rPr>
          <w:rFonts w:ascii="Arial" w:hAnsi="Arial" w:cs="Arial"/>
          <w:b/>
          <w:bCs/>
          <w:color w:val="000000" w:themeColor="text1"/>
        </w:rPr>
        <w:t>.1.2 Приготовление замороженной стоковой культуры.</w:t>
      </w:r>
      <w:proofErr w:type="gramEnd"/>
      <w:r w:rsidRPr="006D6392">
        <w:rPr>
          <w:rFonts w:ascii="Arial" w:hAnsi="Arial" w:cs="Arial"/>
          <w:b/>
          <w:bCs/>
          <w:color w:val="000000" w:themeColor="text1"/>
        </w:rPr>
        <w:br/>
      </w:r>
      <w:r w:rsidRPr="006D6392">
        <w:rPr>
          <w:rFonts w:ascii="Arial" w:hAnsi="Arial" w:cs="Arial"/>
          <w:color w:val="000000" w:themeColor="text1"/>
        </w:rPr>
        <w:t xml:space="preserve">После инкубации проверьте чистоту и соберите весь рост с каждого набора чашек и </w:t>
      </w:r>
      <w:proofErr w:type="spellStart"/>
      <w:r w:rsidRPr="006D6392">
        <w:rPr>
          <w:rFonts w:ascii="Arial" w:hAnsi="Arial" w:cs="Arial"/>
          <w:color w:val="000000" w:themeColor="text1"/>
        </w:rPr>
        <w:t>эмульгируйте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его в бульоне, с </w:t>
      </w:r>
      <w:proofErr w:type="spellStart"/>
      <w:r w:rsidRPr="006D6392">
        <w:rPr>
          <w:rFonts w:ascii="Arial" w:hAnsi="Arial" w:cs="Arial"/>
          <w:color w:val="000000" w:themeColor="text1"/>
        </w:rPr>
        <w:t>гидролизатом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соевого казеина [</w:t>
      </w:r>
      <w:proofErr w:type="spellStart"/>
      <w:r w:rsidRPr="006D6392">
        <w:rPr>
          <w:rFonts w:ascii="Arial" w:hAnsi="Arial" w:cs="Arial"/>
          <w:color w:val="000000" w:themeColor="text1"/>
        </w:rPr>
        <w:t>триптиказо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соевый бульон (</w:t>
      </w:r>
      <w:r w:rsidRPr="006D6392">
        <w:rPr>
          <w:rFonts w:ascii="Arial" w:hAnsi="Arial" w:cs="Arial"/>
          <w:color w:val="000000" w:themeColor="text1"/>
          <w:lang w:val="en-US"/>
        </w:rPr>
        <w:t>TSB</w:t>
      </w:r>
      <w:r w:rsidRPr="006D6392">
        <w:rPr>
          <w:rFonts w:ascii="Arial" w:hAnsi="Arial" w:cs="Arial"/>
          <w:color w:val="000000" w:themeColor="text1"/>
        </w:rPr>
        <w:t xml:space="preserve">)], содержащем 15% </w:t>
      </w:r>
      <w:proofErr w:type="spellStart"/>
      <w:r w:rsidRPr="006D6392">
        <w:rPr>
          <w:rFonts w:ascii="Arial" w:hAnsi="Arial" w:cs="Arial"/>
          <w:color w:val="000000" w:themeColor="text1"/>
        </w:rPr>
        <w:t>мас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. / </w:t>
      </w:r>
      <w:proofErr w:type="gramStart"/>
      <w:r w:rsidRPr="006D6392">
        <w:rPr>
          <w:rFonts w:ascii="Arial" w:hAnsi="Arial" w:cs="Arial"/>
          <w:color w:val="000000" w:themeColor="text1"/>
        </w:rPr>
        <w:t>об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. Глицерина, для приготовления однородно плотной суспензии. Храните флаконы при температуре -60 ° </w:t>
      </w:r>
      <w:r w:rsidRPr="006D6392">
        <w:rPr>
          <w:rFonts w:ascii="Arial" w:hAnsi="Arial" w:cs="Arial"/>
          <w:color w:val="000000" w:themeColor="text1"/>
          <w:lang w:val="en-US"/>
        </w:rPr>
        <w:t>C</w:t>
      </w:r>
      <w:r w:rsidRPr="006D6392">
        <w:rPr>
          <w:rFonts w:ascii="Arial" w:hAnsi="Arial" w:cs="Arial"/>
          <w:color w:val="000000" w:themeColor="text1"/>
        </w:rPr>
        <w:t xml:space="preserve"> или ниже. При использовании этого метода культуры должны быть жизнеспособными в течение как минимум одного года. Могут быть использованы другие методы приготовления исходных культур, если они обеспечивают адекватную жизнеспособность и стабильность. Периодически обновлять исходные культуры из свежих </w:t>
      </w:r>
      <w:proofErr w:type="spellStart"/>
      <w:r w:rsidRPr="006D6392">
        <w:rPr>
          <w:rFonts w:ascii="Arial" w:hAnsi="Arial" w:cs="Arial"/>
          <w:color w:val="000000" w:themeColor="text1"/>
        </w:rPr>
        <w:t>лиофилизированных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культур, полученных из признанных коллекций культур. ПРИМЕЧАНИЕ. Чтобы приготовить </w:t>
      </w:r>
      <w:r w:rsidRPr="006D6392">
        <w:rPr>
          <w:rFonts w:ascii="Arial" w:hAnsi="Arial" w:cs="Arial"/>
          <w:color w:val="000000" w:themeColor="text1"/>
          <w:lang w:val="en-US"/>
        </w:rPr>
        <w:t>TSB</w:t>
      </w:r>
      <w:r w:rsidRPr="006D6392">
        <w:rPr>
          <w:rFonts w:ascii="Arial" w:hAnsi="Arial" w:cs="Arial"/>
          <w:color w:val="000000" w:themeColor="text1"/>
        </w:rPr>
        <w:t xml:space="preserve"> с глицерином, добавьте рекомендованное производителем количество порошка </w:t>
      </w:r>
      <w:r w:rsidRPr="006D6392">
        <w:rPr>
          <w:rFonts w:ascii="Arial" w:hAnsi="Arial" w:cs="Arial"/>
          <w:color w:val="000000" w:themeColor="text1"/>
          <w:lang w:val="en-US"/>
        </w:rPr>
        <w:t>TSB</w:t>
      </w:r>
      <w:r w:rsidRPr="006D6392">
        <w:rPr>
          <w:rFonts w:ascii="Arial" w:hAnsi="Arial" w:cs="Arial"/>
          <w:color w:val="000000" w:themeColor="text1"/>
        </w:rPr>
        <w:t xml:space="preserve"> или гранулы для </w:t>
      </w:r>
      <w:r w:rsidRPr="006D6392">
        <w:rPr>
          <w:rFonts w:ascii="Arial" w:hAnsi="Arial" w:cs="Arial"/>
          <w:color w:val="000000" w:themeColor="text1"/>
        </w:rPr>
        <w:lastRenderedPageBreak/>
        <w:t xml:space="preserve">приготовления одного литра, затем добавьте 500 мл </w:t>
      </w:r>
      <w:proofErr w:type="spellStart"/>
      <w:r w:rsidRPr="006D6392">
        <w:rPr>
          <w:rFonts w:ascii="Arial" w:hAnsi="Arial" w:cs="Arial"/>
          <w:color w:val="000000" w:themeColor="text1"/>
        </w:rPr>
        <w:t>деионизированной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воды и 150 мл глицерина. Отрегулируйте конечный общий объем до 1 л </w:t>
      </w:r>
      <w:proofErr w:type="spellStart"/>
      <w:r w:rsidRPr="006D6392">
        <w:rPr>
          <w:rFonts w:ascii="Arial" w:hAnsi="Arial" w:cs="Arial"/>
          <w:color w:val="000000" w:themeColor="text1"/>
        </w:rPr>
        <w:t>деионизированной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водой, нагрейте до полного растворения и хорошо перемешайте и стерилизуйте его при 121 ° С в течение 15 мин. Разлить суспензию в маленькие стерильные флаконы.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b/>
          <w:bCs/>
          <w:color w:val="000000" w:themeColor="text1"/>
        </w:rPr>
      </w:pPr>
      <w:r w:rsidRPr="006D6392">
        <w:rPr>
          <w:rFonts w:ascii="Arial" w:hAnsi="Arial" w:cs="Arial"/>
          <w:b/>
          <w:bCs/>
          <w:color w:val="000000" w:themeColor="text1"/>
          <w:lang w:val="en-US"/>
        </w:rPr>
        <w:t>B</w:t>
      </w:r>
      <w:r w:rsidRPr="006D6392">
        <w:rPr>
          <w:rFonts w:ascii="Arial" w:hAnsi="Arial" w:cs="Arial"/>
          <w:b/>
          <w:bCs/>
          <w:color w:val="000000" w:themeColor="text1"/>
        </w:rPr>
        <w:t xml:space="preserve">.1.3 Приготовление тестового </w:t>
      </w:r>
      <w:proofErr w:type="spellStart"/>
      <w:r w:rsidRPr="006D6392">
        <w:rPr>
          <w:rFonts w:ascii="Arial" w:hAnsi="Arial" w:cs="Arial"/>
          <w:b/>
          <w:bCs/>
          <w:color w:val="000000" w:themeColor="text1"/>
        </w:rPr>
        <w:t>инокулята</w:t>
      </w:r>
      <w:proofErr w:type="spellEnd"/>
      <w:r w:rsidRPr="006D6392">
        <w:rPr>
          <w:rFonts w:ascii="Arial" w:hAnsi="Arial" w:cs="Arial"/>
          <w:b/>
          <w:bCs/>
          <w:color w:val="000000" w:themeColor="text1"/>
        </w:rPr>
        <w:t xml:space="preserve"> 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Для приготовления тестового </w:t>
      </w:r>
      <w:proofErr w:type="spellStart"/>
      <w:r w:rsidRPr="006D6392">
        <w:rPr>
          <w:rFonts w:ascii="Arial" w:hAnsi="Arial" w:cs="Arial"/>
          <w:color w:val="000000" w:themeColor="text1"/>
        </w:rPr>
        <w:t>инокулята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обратитесь к 4.3.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b/>
          <w:bCs/>
          <w:color w:val="000000" w:themeColor="text1"/>
        </w:rPr>
      </w:pPr>
      <w:r w:rsidRPr="006D6392">
        <w:rPr>
          <w:rFonts w:ascii="Arial" w:hAnsi="Arial" w:cs="Arial"/>
          <w:b/>
          <w:bCs/>
          <w:color w:val="000000" w:themeColor="text1"/>
        </w:rPr>
        <w:t xml:space="preserve">Приложение </w:t>
      </w:r>
      <w:r w:rsidRPr="006D6392">
        <w:rPr>
          <w:rFonts w:ascii="Arial" w:hAnsi="Arial" w:cs="Arial"/>
          <w:b/>
          <w:bCs/>
          <w:color w:val="000000" w:themeColor="text1"/>
          <w:lang w:val="en-US"/>
        </w:rPr>
        <w:t>C</w:t>
      </w:r>
      <w:r w:rsidRPr="006D6392">
        <w:rPr>
          <w:rFonts w:ascii="Arial" w:hAnsi="Arial" w:cs="Arial"/>
          <w:color w:val="000000" w:themeColor="text1"/>
        </w:rPr>
        <w:br/>
        <w:t>(информационное)</w:t>
      </w:r>
      <w:r w:rsidRPr="006D6392">
        <w:rPr>
          <w:rFonts w:ascii="Arial" w:hAnsi="Arial" w:cs="Arial"/>
          <w:color w:val="000000" w:themeColor="text1"/>
        </w:rPr>
        <w:br/>
      </w:r>
      <w:r w:rsidRPr="006D6392">
        <w:rPr>
          <w:rFonts w:ascii="Arial" w:hAnsi="Arial" w:cs="Arial"/>
          <w:b/>
          <w:bCs/>
          <w:color w:val="000000" w:themeColor="text1"/>
        </w:rPr>
        <w:t>Предлагаемая спецификация для исследования производственных серий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b/>
          <w:bCs/>
          <w:color w:val="000000" w:themeColor="text1"/>
        </w:rPr>
      </w:pPr>
      <w:r w:rsidRPr="006D6392">
        <w:rPr>
          <w:rFonts w:ascii="Arial" w:hAnsi="Arial" w:cs="Arial"/>
          <w:b/>
          <w:bCs/>
          <w:color w:val="000000" w:themeColor="text1"/>
          <w:lang w:val="en-GB"/>
        </w:rPr>
        <w:t>C</w:t>
      </w:r>
      <w:r w:rsidRPr="006D6392">
        <w:rPr>
          <w:rFonts w:ascii="Arial" w:hAnsi="Arial" w:cs="Arial"/>
          <w:b/>
          <w:bCs/>
          <w:color w:val="000000" w:themeColor="text1"/>
        </w:rPr>
        <w:t xml:space="preserve">.1 Предлагаемая спецификация для исследования производственных серий </w:t>
      </w:r>
      <w:proofErr w:type="spellStart"/>
      <w:r w:rsidRPr="006D6392">
        <w:rPr>
          <w:rFonts w:ascii="Arial" w:hAnsi="Arial" w:cs="Arial"/>
          <w:b/>
          <w:bCs/>
          <w:color w:val="000000" w:themeColor="text1"/>
        </w:rPr>
        <w:t>дБМХ</w:t>
      </w:r>
      <w:proofErr w:type="spellEnd"/>
      <w:r w:rsidRPr="006D6392">
        <w:rPr>
          <w:rFonts w:ascii="Arial" w:hAnsi="Arial" w:cs="Arial"/>
          <w:b/>
          <w:bCs/>
          <w:color w:val="000000" w:themeColor="text1"/>
        </w:rPr>
        <w:t xml:space="preserve"> 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Дата: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Номер серии: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Размер серии: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color w:val="000000" w:themeColor="text1"/>
          <w:lang w:val="en-GB"/>
        </w:rPr>
      </w:pPr>
      <w:proofErr w:type="spellStart"/>
      <w:r w:rsidRPr="006D6392">
        <w:rPr>
          <w:rFonts w:ascii="Arial" w:hAnsi="Arial" w:cs="Arial"/>
          <w:color w:val="000000" w:themeColor="text1"/>
          <w:lang w:val="en-GB"/>
        </w:rPr>
        <w:t>Описание</w:t>
      </w:r>
      <w:proofErr w:type="spellEnd"/>
      <w:r w:rsidRPr="006D6392">
        <w:rPr>
          <w:rFonts w:ascii="Arial" w:hAnsi="Arial" w:cs="Arial"/>
          <w:color w:val="000000" w:themeColor="text1"/>
          <w:lang w:val="en-GB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  <w:lang w:val="en-GB"/>
        </w:rPr>
        <w:t>цвета</w:t>
      </w:r>
      <w:proofErr w:type="spellEnd"/>
      <w:r w:rsidRPr="006D6392">
        <w:rPr>
          <w:rFonts w:ascii="Arial" w:hAnsi="Arial" w:cs="Arial"/>
          <w:color w:val="000000" w:themeColor="text1"/>
          <w:lang w:val="en-GB"/>
        </w:rPr>
        <w:t>: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color w:val="000000" w:themeColor="text1"/>
          <w:lang w:val="en-GB"/>
        </w:rPr>
      </w:pPr>
      <w:proofErr w:type="spellStart"/>
      <w:r w:rsidRPr="006D6392">
        <w:rPr>
          <w:rFonts w:ascii="Arial" w:hAnsi="Arial" w:cs="Arial"/>
          <w:color w:val="000000" w:themeColor="text1"/>
          <w:lang w:val="en-GB"/>
        </w:rPr>
        <w:t>Прозрачность</w:t>
      </w:r>
      <w:proofErr w:type="spellEnd"/>
      <w:r w:rsidRPr="006D6392">
        <w:rPr>
          <w:rFonts w:ascii="Arial" w:hAnsi="Arial" w:cs="Arial"/>
          <w:color w:val="000000" w:themeColor="text1"/>
          <w:lang w:val="en-GB"/>
        </w:rPr>
        <w:t>: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color w:val="000000" w:themeColor="text1"/>
          <w:lang w:val="en-GB"/>
        </w:rPr>
      </w:pPr>
      <w:proofErr w:type="gramStart"/>
      <w:r w:rsidRPr="006D6392">
        <w:rPr>
          <w:rFonts w:ascii="Arial" w:hAnsi="Arial" w:cs="Arial"/>
          <w:color w:val="000000" w:themeColor="text1"/>
          <w:lang w:val="en-US"/>
        </w:rPr>
        <w:t>pH</w:t>
      </w:r>
      <w:proofErr w:type="gramEnd"/>
      <w:r w:rsidRPr="006D6392">
        <w:rPr>
          <w:rFonts w:ascii="Arial" w:hAnsi="Arial" w:cs="Arial"/>
          <w:color w:val="000000" w:themeColor="text1"/>
          <w:lang w:val="en-GB"/>
        </w:rPr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56"/>
        <w:gridCol w:w="1810"/>
        <w:gridCol w:w="1462"/>
        <w:gridCol w:w="1463"/>
        <w:gridCol w:w="1463"/>
      </w:tblGrid>
      <w:tr w:rsidR="009217BF" w:rsidRPr="006D6392" w:rsidTr="009217BF">
        <w:tc>
          <w:tcPr>
            <w:tcW w:w="32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GB"/>
              </w:rPr>
            </w:pPr>
            <w:proofErr w:type="spellStart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>Антимикробный</w:t>
            </w:r>
            <w:proofErr w:type="spellEnd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 xml:space="preserve"> </w:t>
            </w:r>
            <w:proofErr w:type="spellStart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>агент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GB"/>
              </w:rPr>
            </w:pPr>
            <w:proofErr w:type="spellStart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>Приемлемый</w:t>
            </w:r>
            <w:proofErr w:type="spellEnd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 xml:space="preserve"> </w:t>
            </w:r>
            <w:proofErr w:type="spellStart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>диапазон</w:t>
            </w:r>
            <w:proofErr w:type="spellEnd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 xml:space="preserve"> </w:t>
            </w: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мг</w:t>
            </w:r>
            <w:proofErr w:type="spellEnd"/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/</w:t>
            </w:r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л</w:t>
            </w:r>
          </w:p>
        </w:tc>
        <w:tc>
          <w:tcPr>
            <w:tcW w:w="43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GB"/>
              </w:rPr>
            </w:pPr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 xml:space="preserve">МПК </w:t>
            </w: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мг</w:t>
            </w:r>
            <w:proofErr w:type="spellEnd"/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/</w:t>
            </w:r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л</w:t>
            </w:r>
          </w:p>
        </w:tc>
      </w:tr>
      <w:tr w:rsidR="009217BF" w:rsidRPr="006D6392" w:rsidTr="009217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GB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GB"/>
              </w:rPr>
            </w:pPr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GB"/>
              </w:rPr>
            </w:pPr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GB"/>
              </w:rPr>
            </w:pPr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3</w:t>
            </w:r>
          </w:p>
        </w:tc>
      </w:tr>
      <w:tr w:rsidR="009217BF" w:rsidRPr="006D6392" w:rsidTr="009217B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P. aeruginosa 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WDCM 00025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Ципрофлоксацин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0,25-1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Гентамицин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0,5-2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Имипенем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1-4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Пиперациллин-тазобактам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1/4-8/4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E. coli 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WDCM 00013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Ампициллин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2-8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Цефотаксим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0,03-0,12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Тигециклин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0,03-0,25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S. aureus 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WDCM 00131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Клинадамицин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0,06-0,25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Эритромицин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0,25-1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Охациллин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0,12-0,5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lastRenderedPageBreak/>
              <w:t>Тетрациклин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0,12-1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Ванкомицин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0,5-2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E. </w:t>
            </w:r>
            <w:proofErr w:type="spellStart"/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>faecalis</w:t>
            </w:r>
            <w:proofErr w:type="spellEnd"/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 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WDCM 00087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Ампициллин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0,5-2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Триметоприм-сульфаметоксазол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≤0,5/9,5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Ванкомицин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1-4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S. aureus 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WDCM 00211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rPr>
          <w:trHeight w:val="7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Оксациллин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4-32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</w:tr>
    </w:tbl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b/>
          <w:bCs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br/>
        <w:t xml:space="preserve">Диапазоны подлежат периодическому пересмотру. Сверьтесь с </w:t>
      </w:r>
      <w:proofErr w:type="gramStart"/>
      <w:r w:rsidRPr="006D6392">
        <w:rPr>
          <w:rFonts w:ascii="Arial" w:hAnsi="Arial" w:cs="Arial"/>
          <w:color w:val="000000" w:themeColor="text1"/>
        </w:rPr>
        <w:t>последней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версиейМ100 от ИКЛС об обновлениях. </w:t>
      </w:r>
      <w:r w:rsidRPr="006D6392">
        <w:rPr>
          <w:rFonts w:ascii="Arial" w:hAnsi="Arial" w:cs="Arial"/>
          <w:color w:val="000000" w:themeColor="text1"/>
          <w:lang w:val="en-US"/>
        </w:rPr>
        <w:t>CLSI</w:t>
      </w:r>
      <w:r w:rsidRPr="006D6392">
        <w:rPr>
          <w:rFonts w:ascii="Arial" w:hAnsi="Arial" w:cs="Arial"/>
          <w:color w:val="000000" w:themeColor="text1"/>
        </w:rPr>
        <w:t xml:space="preserve">, 950 </w:t>
      </w:r>
      <w:r w:rsidRPr="006D6392">
        <w:rPr>
          <w:rFonts w:ascii="Arial" w:hAnsi="Arial" w:cs="Arial"/>
          <w:color w:val="000000" w:themeColor="text1"/>
          <w:lang w:val="en-US"/>
        </w:rPr>
        <w:t>West</w:t>
      </w:r>
      <w:r w:rsidRPr="006D6392">
        <w:rPr>
          <w:rFonts w:ascii="Arial" w:hAnsi="Arial" w:cs="Arial"/>
          <w:color w:val="000000" w:themeColor="text1"/>
        </w:rPr>
        <w:t xml:space="preserve"> </w:t>
      </w:r>
      <w:r w:rsidRPr="006D6392">
        <w:rPr>
          <w:rFonts w:ascii="Arial" w:hAnsi="Arial" w:cs="Arial"/>
          <w:color w:val="000000" w:themeColor="text1"/>
          <w:lang w:val="en-US"/>
        </w:rPr>
        <w:t>Valley</w:t>
      </w:r>
      <w:r w:rsidRPr="006D6392">
        <w:rPr>
          <w:rFonts w:ascii="Arial" w:hAnsi="Arial" w:cs="Arial"/>
          <w:color w:val="000000" w:themeColor="text1"/>
        </w:rPr>
        <w:t xml:space="preserve"> </w:t>
      </w:r>
      <w:r w:rsidRPr="006D6392">
        <w:rPr>
          <w:rFonts w:ascii="Arial" w:hAnsi="Arial" w:cs="Arial"/>
          <w:color w:val="000000" w:themeColor="text1"/>
          <w:lang w:val="en-US"/>
        </w:rPr>
        <w:t>Road</w:t>
      </w:r>
      <w:r w:rsidRPr="006D6392">
        <w:rPr>
          <w:rFonts w:ascii="Arial" w:hAnsi="Arial" w:cs="Arial"/>
          <w:color w:val="000000" w:themeColor="text1"/>
        </w:rPr>
        <w:t xml:space="preserve">, </w:t>
      </w:r>
      <w:r w:rsidRPr="006D6392">
        <w:rPr>
          <w:rFonts w:ascii="Arial" w:hAnsi="Arial" w:cs="Arial"/>
          <w:color w:val="000000" w:themeColor="text1"/>
          <w:lang w:val="en-US"/>
        </w:rPr>
        <w:t>Suite</w:t>
      </w:r>
      <w:r w:rsidRPr="006D6392">
        <w:rPr>
          <w:rFonts w:ascii="Arial" w:hAnsi="Arial" w:cs="Arial"/>
          <w:color w:val="000000" w:themeColor="text1"/>
        </w:rPr>
        <w:t xml:space="preserve"> 2500, </w:t>
      </w:r>
      <w:r w:rsidRPr="006D6392">
        <w:rPr>
          <w:rFonts w:ascii="Arial" w:hAnsi="Arial" w:cs="Arial"/>
          <w:color w:val="000000" w:themeColor="text1"/>
          <w:lang w:val="en-US"/>
        </w:rPr>
        <w:t>Wayne</w:t>
      </w:r>
      <w:r w:rsidRPr="006D6392">
        <w:rPr>
          <w:rFonts w:ascii="Arial" w:hAnsi="Arial" w:cs="Arial"/>
          <w:color w:val="000000" w:themeColor="text1"/>
        </w:rPr>
        <w:t xml:space="preserve">, </w:t>
      </w:r>
      <w:r w:rsidRPr="006D6392">
        <w:rPr>
          <w:rFonts w:ascii="Arial" w:hAnsi="Arial" w:cs="Arial"/>
          <w:color w:val="000000" w:themeColor="text1"/>
          <w:lang w:val="en-US"/>
        </w:rPr>
        <w:t>PA</w:t>
      </w:r>
      <w:r w:rsidRPr="006D6392">
        <w:rPr>
          <w:rFonts w:ascii="Arial" w:hAnsi="Arial" w:cs="Arial"/>
          <w:color w:val="000000" w:themeColor="text1"/>
        </w:rPr>
        <w:t xml:space="preserve"> 19087, </w:t>
      </w:r>
      <w:proofErr w:type="gramStart"/>
      <w:r w:rsidRPr="006D6392">
        <w:rPr>
          <w:rFonts w:ascii="Arial" w:hAnsi="Arial" w:cs="Arial"/>
          <w:color w:val="000000" w:themeColor="text1"/>
          <w:lang w:val="en-US"/>
        </w:rPr>
        <w:t>USA</w:t>
      </w:r>
      <w:r w:rsidRPr="006D6392">
        <w:rPr>
          <w:rFonts w:ascii="Arial" w:hAnsi="Arial" w:cs="Arial"/>
          <w:color w:val="000000" w:themeColor="text1"/>
        </w:rPr>
        <w:t>[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14] или сверьтесь с последней версией таблиц контроля качестве </w:t>
      </w:r>
      <w:r w:rsidRPr="006D6392">
        <w:rPr>
          <w:rFonts w:ascii="Arial" w:hAnsi="Arial" w:cs="Arial"/>
          <w:color w:val="000000" w:themeColor="text1"/>
          <w:lang w:val="en-US"/>
        </w:rPr>
        <w:t>EUCAST</w:t>
      </w:r>
      <w:r w:rsidRPr="006D6392">
        <w:rPr>
          <w:rFonts w:ascii="Arial" w:hAnsi="Arial" w:cs="Arial"/>
          <w:color w:val="000000" w:themeColor="text1"/>
        </w:rPr>
        <w:t xml:space="preserve"> доступных на: </w:t>
      </w:r>
      <w:r w:rsidRPr="006D6392">
        <w:rPr>
          <w:rFonts w:ascii="Arial" w:hAnsi="Arial" w:cs="Arial"/>
          <w:color w:val="000000" w:themeColor="text1"/>
          <w:lang w:val="en-US"/>
        </w:rPr>
        <w:t>http</w:t>
      </w:r>
      <w:r w:rsidRPr="006D6392">
        <w:rPr>
          <w:rFonts w:ascii="Arial" w:hAnsi="Arial" w:cs="Arial"/>
          <w:color w:val="000000" w:themeColor="text1"/>
        </w:rPr>
        <w:t>://</w:t>
      </w:r>
      <w:r w:rsidRPr="006D6392">
        <w:rPr>
          <w:rFonts w:ascii="Arial" w:hAnsi="Arial" w:cs="Arial"/>
          <w:color w:val="000000" w:themeColor="text1"/>
          <w:lang w:val="en-US"/>
        </w:rPr>
        <w:t>www</w:t>
      </w:r>
      <w:r w:rsidRPr="006D6392">
        <w:rPr>
          <w:rFonts w:ascii="Arial" w:hAnsi="Arial" w:cs="Arial"/>
          <w:color w:val="000000" w:themeColor="text1"/>
        </w:rPr>
        <w:t>.</w:t>
      </w:r>
      <w:proofErr w:type="spellStart"/>
      <w:r w:rsidRPr="006D6392">
        <w:rPr>
          <w:rFonts w:ascii="Arial" w:hAnsi="Arial" w:cs="Arial"/>
          <w:color w:val="000000" w:themeColor="text1"/>
          <w:lang w:val="en-US"/>
        </w:rPr>
        <w:t>eucast</w:t>
      </w:r>
      <w:proofErr w:type="spellEnd"/>
      <w:r w:rsidRPr="006D6392">
        <w:rPr>
          <w:rFonts w:ascii="Arial" w:hAnsi="Arial" w:cs="Arial"/>
          <w:color w:val="000000" w:themeColor="text1"/>
        </w:rPr>
        <w:t>.</w:t>
      </w:r>
      <w:r w:rsidRPr="006D6392">
        <w:rPr>
          <w:rFonts w:ascii="Arial" w:hAnsi="Arial" w:cs="Arial"/>
          <w:color w:val="000000" w:themeColor="text1"/>
          <w:lang w:val="en-US"/>
        </w:rPr>
        <w:t>org</w:t>
      </w:r>
      <w:r w:rsidRPr="006D6392">
        <w:rPr>
          <w:rFonts w:ascii="Arial" w:hAnsi="Arial" w:cs="Arial"/>
          <w:color w:val="000000" w:themeColor="text1"/>
        </w:rPr>
        <w:t>/</w:t>
      </w:r>
      <w:proofErr w:type="spellStart"/>
      <w:r w:rsidRPr="006D6392">
        <w:rPr>
          <w:rFonts w:ascii="Arial" w:hAnsi="Arial" w:cs="Arial"/>
          <w:color w:val="000000" w:themeColor="text1"/>
          <w:lang w:val="en-US"/>
        </w:rPr>
        <w:t>ast</w:t>
      </w:r>
      <w:proofErr w:type="spellEnd"/>
      <w:r w:rsidRPr="006D6392">
        <w:rPr>
          <w:rFonts w:ascii="Arial" w:hAnsi="Arial" w:cs="Arial"/>
          <w:color w:val="000000" w:themeColor="text1"/>
        </w:rPr>
        <w:t>_</w:t>
      </w:r>
      <w:r w:rsidRPr="006D6392">
        <w:rPr>
          <w:rFonts w:ascii="Arial" w:hAnsi="Arial" w:cs="Arial"/>
          <w:color w:val="000000" w:themeColor="text1"/>
          <w:lang w:val="en-US"/>
        </w:rPr>
        <w:t>of</w:t>
      </w:r>
      <w:r w:rsidRPr="006D6392">
        <w:rPr>
          <w:rFonts w:ascii="Arial" w:hAnsi="Arial" w:cs="Arial"/>
          <w:color w:val="000000" w:themeColor="text1"/>
        </w:rPr>
        <w:t>_</w:t>
      </w:r>
      <w:r w:rsidRPr="006D6392">
        <w:rPr>
          <w:rFonts w:ascii="Arial" w:hAnsi="Arial" w:cs="Arial"/>
          <w:color w:val="000000" w:themeColor="text1"/>
          <w:lang w:val="en-US"/>
        </w:rPr>
        <w:t>bacteria</w:t>
      </w:r>
      <w:r w:rsidRPr="006D6392">
        <w:rPr>
          <w:rFonts w:ascii="Arial" w:hAnsi="Arial" w:cs="Arial"/>
          <w:color w:val="000000" w:themeColor="text1"/>
        </w:rPr>
        <w:t>/</w:t>
      </w:r>
      <w:r w:rsidRPr="006D6392">
        <w:rPr>
          <w:rFonts w:ascii="Arial" w:hAnsi="Arial" w:cs="Arial"/>
          <w:color w:val="000000" w:themeColor="text1"/>
          <w:lang w:val="en-US"/>
        </w:rPr>
        <w:t>qc</w:t>
      </w:r>
      <w:r w:rsidRPr="006D6392">
        <w:rPr>
          <w:rFonts w:ascii="Arial" w:hAnsi="Arial" w:cs="Arial"/>
          <w:color w:val="000000" w:themeColor="text1"/>
        </w:rPr>
        <w:t>_</w:t>
      </w:r>
      <w:r w:rsidRPr="006D6392">
        <w:rPr>
          <w:rFonts w:ascii="Arial" w:hAnsi="Arial" w:cs="Arial"/>
          <w:color w:val="000000" w:themeColor="text1"/>
          <w:lang w:val="en-US"/>
        </w:rPr>
        <w:t>tables</w:t>
      </w:r>
      <w:r w:rsidRPr="006D6392">
        <w:rPr>
          <w:rFonts w:ascii="Arial" w:hAnsi="Arial" w:cs="Arial"/>
          <w:color w:val="000000" w:themeColor="text1"/>
        </w:rPr>
        <w:t>/.</w:t>
      </w:r>
      <w:r w:rsidRPr="006D6392">
        <w:rPr>
          <w:rFonts w:ascii="Arial" w:hAnsi="Arial" w:cs="Arial"/>
          <w:color w:val="000000" w:themeColor="text1"/>
        </w:rPr>
        <w:br/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b/>
          <w:bCs/>
          <w:color w:val="000000" w:themeColor="text1"/>
        </w:rPr>
      </w:pPr>
      <w:r w:rsidRPr="006D6392">
        <w:rPr>
          <w:rFonts w:ascii="Arial" w:hAnsi="Arial" w:cs="Arial"/>
          <w:b/>
          <w:bCs/>
          <w:color w:val="000000" w:themeColor="text1"/>
          <w:lang w:val="en-GB"/>
        </w:rPr>
        <w:t>C</w:t>
      </w:r>
      <w:r w:rsidRPr="006D6392">
        <w:rPr>
          <w:rFonts w:ascii="Arial" w:hAnsi="Arial" w:cs="Arial"/>
          <w:b/>
          <w:bCs/>
          <w:color w:val="000000" w:themeColor="text1"/>
        </w:rPr>
        <w:t xml:space="preserve">.1 Предлагаемая спецификация для исследования производственных серий </w:t>
      </w:r>
      <w:proofErr w:type="spellStart"/>
      <w:r w:rsidRPr="006D6392">
        <w:rPr>
          <w:rFonts w:ascii="Arial" w:hAnsi="Arial" w:cs="Arial"/>
          <w:b/>
          <w:bCs/>
          <w:color w:val="000000" w:themeColor="text1"/>
        </w:rPr>
        <w:t>дАМХ</w:t>
      </w:r>
      <w:proofErr w:type="spellEnd"/>
      <w:r w:rsidRPr="006D6392">
        <w:rPr>
          <w:rFonts w:ascii="Arial" w:hAnsi="Arial" w:cs="Arial"/>
          <w:b/>
          <w:bCs/>
          <w:color w:val="000000" w:themeColor="text1"/>
        </w:rPr>
        <w:t xml:space="preserve"> 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Дата: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Номер серии: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Размер серии: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Описание цвета: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Прозрачность:</w:t>
      </w:r>
    </w:p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b/>
          <w:bCs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Плотность геля:</w:t>
      </w:r>
      <w:r w:rsidRPr="006D6392">
        <w:rPr>
          <w:rFonts w:ascii="Arial" w:hAnsi="Arial" w:cs="Arial"/>
          <w:color w:val="000000" w:themeColor="text1"/>
        </w:rPr>
        <w:br/>
      </w:r>
      <w:r w:rsidRPr="006D6392">
        <w:rPr>
          <w:rFonts w:ascii="Arial" w:hAnsi="Arial" w:cs="Arial"/>
          <w:color w:val="000000" w:themeColor="text1"/>
          <w:lang w:val="en-US"/>
        </w:rPr>
        <w:t>pH</w:t>
      </w:r>
      <w:r w:rsidRPr="006D6392">
        <w:rPr>
          <w:rFonts w:ascii="Arial" w:hAnsi="Arial" w:cs="Arial"/>
          <w:color w:val="000000" w:themeColor="text1"/>
        </w:rPr>
        <w:t>:</w:t>
      </w:r>
      <w:r w:rsidRPr="006D6392">
        <w:rPr>
          <w:rFonts w:ascii="Arial" w:hAnsi="Arial" w:cs="Arial"/>
          <w:color w:val="000000" w:themeColor="text1"/>
        </w:rPr>
        <w:br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31"/>
        <w:gridCol w:w="1698"/>
        <w:gridCol w:w="1810"/>
        <w:gridCol w:w="953"/>
        <w:gridCol w:w="943"/>
        <w:gridCol w:w="935"/>
      </w:tblGrid>
      <w:tr w:rsidR="009217BF" w:rsidRPr="006D6392" w:rsidTr="009217BF">
        <w:tc>
          <w:tcPr>
            <w:tcW w:w="3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</w:pPr>
            <w:proofErr w:type="spellStart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>Антимикробный</w:t>
            </w:r>
            <w:proofErr w:type="spellEnd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 xml:space="preserve"> </w:t>
            </w:r>
            <w:proofErr w:type="spellStart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>агент</w:t>
            </w:r>
            <w:proofErr w:type="spellEnd"/>
          </w:p>
        </w:tc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  <w:proofErr w:type="spellStart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>Содержание</w:t>
            </w:r>
            <w:proofErr w:type="spellEnd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 xml:space="preserve"> в </w:t>
            </w:r>
            <w:proofErr w:type="spellStart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>диске</w:t>
            </w:r>
            <w:proofErr w:type="spellEnd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 xml:space="preserve"> </w:t>
            </w:r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μ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g</w:t>
            </w:r>
          </w:p>
        </w:tc>
        <w:tc>
          <w:tcPr>
            <w:tcW w:w="1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  <w:proofErr w:type="spellStart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>Приемлемый</w:t>
            </w:r>
            <w:proofErr w:type="spellEnd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 xml:space="preserve"> </w:t>
            </w:r>
            <w:proofErr w:type="spellStart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>диапазон</w:t>
            </w:r>
            <w:proofErr w:type="spellEnd"/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 xml:space="preserve"> 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mm</w:t>
            </w:r>
          </w:p>
        </w:tc>
        <w:tc>
          <w:tcPr>
            <w:tcW w:w="31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6D6392">
              <w:rPr>
                <w:rFonts w:ascii="Arial" w:hAnsi="Arial" w:cs="Arial"/>
                <w:b/>
                <w:bCs/>
                <w:color w:val="000000" w:themeColor="text1"/>
              </w:rPr>
              <w:t xml:space="preserve">Диаметр зоны, ближайший целый 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mm</w:t>
            </w:r>
          </w:p>
        </w:tc>
      </w:tr>
      <w:tr w:rsidR="009217BF" w:rsidRPr="006D6392" w:rsidTr="009217B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</w:pPr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>1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</w:pPr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</w:pPr>
            <w:r w:rsidRPr="006D6392">
              <w:rPr>
                <w:rFonts w:ascii="Arial" w:hAnsi="Arial" w:cs="Arial"/>
                <w:b/>
                <w:bCs/>
                <w:color w:val="000000" w:themeColor="text1"/>
                <w:lang w:val="en-GB"/>
              </w:rPr>
              <w:t>3</w:t>
            </w: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S. aureus 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WDCM 00034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Амоксициллин-клавуланат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20/10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28-36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Ампициллин-сульбактам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10/10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29-37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Цефокситин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30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23-29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Ципрофлоксацин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22-30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lastRenderedPageBreak/>
              <w:t>Эритромицин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22-30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Гентамицин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19-27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Линезолид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30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25-32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Пенициллин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10 units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26-37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Терациклинг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30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24-30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S. aureus 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WDCM 00131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Пенициллин</w:t>
            </w:r>
            <w:proofErr w:type="spellEnd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 xml:space="preserve"> (</w:t>
            </w: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бензилпенициллин</w:t>
            </w:r>
            <w:proofErr w:type="spellEnd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)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 unit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12-18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Цефокситин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30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24-30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Ципрофлоксацин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21-27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Эритромицин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GB"/>
              </w:rPr>
            </w:pPr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15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23-29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Гентамицин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GB"/>
              </w:rPr>
            </w:pPr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19-25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Линезолид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GB"/>
              </w:rPr>
            </w:pPr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21-27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Тетрациклин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GB"/>
              </w:rPr>
            </w:pPr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30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23-31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E. </w:t>
            </w:r>
            <w:proofErr w:type="spellStart"/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>faecalis</w:t>
            </w:r>
            <w:proofErr w:type="spellEnd"/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 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WDCM 00087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Ампициллин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GB"/>
              </w:rPr>
            </w:pPr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15-21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Имипенем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GB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24-30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Линезолид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19-25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Нитрофурантоин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18-24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Триметоприм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24-32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Триметоприм-сульфаметоксазол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1,25-23,75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26-34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Ванкомицин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10-16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E. coli 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WDCM 00013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Амоксициллин-клавуланат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20/10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18-24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Ампициллин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15-22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Цефотаксим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 xml:space="preserve">30 </w:t>
            </w: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или</w:t>
            </w:r>
            <w:proofErr w:type="spellEnd"/>
            <w:r w:rsidRPr="006D6392">
              <w:rPr>
                <w:rFonts w:ascii="Arial" w:hAnsi="Arial" w:cs="Arial"/>
                <w:color w:val="000000" w:themeColor="text1"/>
                <w:lang w:val="en-US"/>
              </w:rPr>
              <w:br/>
              <w:t>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29-35</w:t>
            </w:r>
          </w:p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25-31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Хлоамфеникол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30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21-27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Ципрофлоксацин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30-40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Гентамицин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19-26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Сульфизоксазол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250 or 300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15-23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Тетрациклин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30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18-25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Тигециклинг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20-27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lastRenderedPageBreak/>
              <w:t>Триметоприм-сульфаметоксазол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1,25/23,75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23-29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P. aeruginosa 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WDCM 00025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Азтреонам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30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23-29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Цефтазидим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10 or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br/>
              <w:t>30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21-27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br/>
              <w:t>22-29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Ципрофлоксацин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25-33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Гентамицин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17-23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Имипенем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20-28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Пиперациллин-тазобактам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100/10 or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br/>
              <w:t>30/6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25-33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br/>
              <w:t>23-29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Тоброамицин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20-26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E. </w:t>
            </w:r>
            <w:proofErr w:type="spellStart"/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>faecalis</w:t>
            </w:r>
            <w:proofErr w:type="spellEnd"/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 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WDCM 00210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Триметоприм-сульфаметоксазол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1,25/23,75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≥20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S. aureus 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WDCM 00211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Цефокситин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30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≤21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i/>
                <w:iCs/>
                <w:color w:val="000000" w:themeColor="text1"/>
                <w:lang w:val="en-US"/>
              </w:rPr>
              <w:t xml:space="preserve">S. aureus </w:t>
            </w: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WDCM 00212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  <w:tr w:rsidR="009217BF" w:rsidRPr="006D6392" w:rsidTr="009217BF"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i/>
                <w:iCs/>
                <w:color w:val="000000" w:themeColor="text1"/>
              </w:rPr>
            </w:pPr>
            <w:proofErr w:type="spellStart"/>
            <w:r w:rsidRPr="006D6392">
              <w:rPr>
                <w:rFonts w:ascii="Arial" w:hAnsi="Arial" w:cs="Arial"/>
                <w:color w:val="000000" w:themeColor="text1"/>
                <w:lang w:val="en-GB"/>
              </w:rPr>
              <w:t>Цефокситин</w:t>
            </w:r>
            <w:proofErr w:type="spellEnd"/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30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14-29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17BF" w:rsidRPr="006D6392" w:rsidRDefault="009217BF" w:rsidP="009217BF">
            <w:pPr>
              <w:suppressAutoHyphens w:val="0"/>
              <w:spacing w:line="360" w:lineRule="auto"/>
              <w:rPr>
                <w:rFonts w:ascii="Arial" w:hAnsi="Arial" w:cs="Arial"/>
                <w:b/>
                <w:bCs/>
                <w:color w:val="000000" w:themeColor="text1"/>
                <w:lang w:val="en-US"/>
              </w:rPr>
            </w:pPr>
          </w:p>
        </w:tc>
      </w:tr>
    </w:tbl>
    <w:p w:rsidR="009217BF" w:rsidRPr="006D6392" w:rsidRDefault="009217BF" w:rsidP="009217BF">
      <w:pPr>
        <w:suppressAutoHyphens w:val="0"/>
        <w:spacing w:line="360" w:lineRule="auto"/>
        <w:rPr>
          <w:rFonts w:ascii="Arial" w:hAnsi="Arial" w:cs="Arial"/>
          <w:b/>
          <w:bCs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br/>
        <w:t xml:space="preserve">Диапазоны подлежат периодическому пересмотру. Сверьтесь с </w:t>
      </w:r>
      <w:proofErr w:type="gramStart"/>
      <w:r w:rsidRPr="006D6392">
        <w:rPr>
          <w:rFonts w:ascii="Arial" w:hAnsi="Arial" w:cs="Arial"/>
          <w:color w:val="000000" w:themeColor="text1"/>
        </w:rPr>
        <w:t>последней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версиейМ100 от ИКЛС об обновлениях. </w:t>
      </w:r>
      <w:r w:rsidRPr="006D6392">
        <w:rPr>
          <w:rFonts w:ascii="Arial" w:hAnsi="Arial" w:cs="Arial"/>
          <w:color w:val="000000" w:themeColor="text1"/>
          <w:lang w:val="en-US"/>
        </w:rPr>
        <w:t>CLSI</w:t>
      </w:r>
      <w:r w:rsidRPr="006D6392">
        <w:rPr>
          <w:rFonts w:ascii="Arial" w:hAnsi="Arial" w:cs="Arial"/>
          <w:color w:val="000000" w:themeColor="text1"/>
        </w:rPr>
        <w:t xml:space="preserve">, 950 </w:t>
      </w:r>
      <w:r w:rsidRPr="006D6392">
        <w:rPr>
          <w:rFonts w:ascii="Arial" w:hAnsi="Arial" w:cs="Arial"/>
          <w:color w:val="000000" w:themeColor="text1"/>
          <w:lang w:val="en-US"/>
        </w:rPr>
        <w:t>West</w:t>
      </w:r>
      <w:r w:rsidRPr="006D6392">
        <w:rPr>
          <w:rFonts w:ascii="Arial" w:hAnsi="Arial" w:cs="Arial"/>
          <w:color w:val="000000" w:themeColor="text1"/>
        </w:rPr>
        <w:t xml:space="preserve"> </w:t>
      </w:r>
      <w:r w:rsidRPr="006D6392">
        <w:rPr>
          <w:rFonts w:ascii="Arial" w:hAnsi="Arial" w:cs="Arial"/>
          <w:color w:val="000000" w:themeColor="text1"/>
          <w:lang w:val="en-US"/>
        </w:rPr>
        <w:t>Valley</w:t>
      </w:r>
      <w:r w:rsidRPr="006D6392">
        <w:rPr>
          <w:rFonts w:ascii="Arial" w:hAnsi="Arial" w:cs="Arial"/>
          <w:color w:val="000000" w:themeColor="text1"/>
        </w:rPr>
        <w:t xml:space="preserve"> </w:t>
      </w:r>
      <w:r w:rsidRPr="006D6392">
        <w:rPr>
          <w:rFonts w:ascii="Arial" w:hAnsi="Arial" w:cs="Arial"/>
          <w:color w:val="000000" w:themeColor="text1"/>
          <w:lang w:val="en-US"/>
        </w:rPr>
        <w:t>Road</w:t>
      </w:r>
      <w:r w:rsidRPr="006D6392">
        <w:rPr>
          <w:rFonts w:ascii="Arial" w:hAnsi="Arial" w:cs="Arial"/>
          <w:color w:val="000000" w:themeColor="text1"/>
        </w:rPr>
        <w:t xml:space="preserve">, </w:t>
      </w:r>
      <w:r w:rsidRPr="006D6392">
        <w:rPr>
          <w:rFonts w:ascii="Arial" w:hAnsi="Arial" w:cs="Arial"/>
          <w:color w:val="000000" w:themeColor="text1"/>
          <w:lang w:val="en-US"/>
        </w:rPr>
        <w:t>Suite</w:t>
      </w:r>
      <w:r w:rsidRPr="006D6392">
        <w:rPr>
          <w:rFonts w:ascii="Arial" w:hAnsi="Arial" w:cs="Arial"/>
          <w:color w:val="000000" w:themeColor="text1"/>
        </w:rPr>
        <w:t xml:space="preserve"> 2500, </w:t>
      </w:r>
      <w:r w:rsidRPr="006D6392">
        <w:rPr>
          <w:rFonts w:ascii="Arial" w:hAnsi="Arial" w:cs="Arial"/>
          <w:color w:val="000000" w:themeColor="text1"/>
          <w:lang w:val="en-US"/>
        </w:rPr>
        <w:t>Wayne</w:t>
      </w:r>
      <w:r w:rsidRPr="006D6392">
        <w:rPr>
          <w:rFonts w:ascii="Arial" w:hAnsi="Arial" w:cs="Arial"/>
          <w:color w:val="000000" w:themeColor="text1"/>
        </w:rPr>
        <w:t xml:space="preserve">, </w:t>
      </w:r>
      <w:r w:rsidRPr="006D6392">
        <w:rPr>
          <w:rFonts w:ascii="Arial" w:hAnsi="Arial" w:cs="Arial"/>
          <w:color w:val="000000" w:themeColor="text1"/>
          <w:lang w:val="en-US"/>
        </w:rPr>
        <w:t>PA</w:t>
      </w:r>
      <w:r w:rsidRPr="006D6392">
        <w:rPr>
          <w:rFonts w:ascii="Arial" w:hAnsi="Arial" w:cs="Arial"/>
          <w:color w:val="000000" w:themeColor="text1"/>
        </w:rPr>
        <w:t xml:space="preserve"> 19087, </w:t>
      </w:r>
      <w:proofErr w:type="gramStart"/>
      <w:r w:rsidRPr="006D6392">
        <w:rPr>
          <w:rFonts w:ascii="Arial" w:hAnsi="Arial" w:cs="Arial"/>
          <w:color w:val="000000" w:themeColor="text1"/>
          <w:lang w:val="en-US"/>
        </w:rPr>
        <w:t>USA</w:t>
      </w:r>
      <w:r w:rsidRPr="006D6392">
        <w:rPr>
          <w:rFonts w:ascii="Arial" w:hAnsi="Arial" w:cs="Arial"/>
          <w:color w:val="000000" w:themeColor="text1"/>
        </w:rPr>
        <w:t>[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14] или сверьтесь с последней версией таблиц контроля качестве </w:t>
      </w:r>
      <w:r w:rsidRPr="006D6392">
        <w:rPr>
          <w:rFonts w:ascii="Arial" w:hAnsi="Arial" w:cs="Arial"/>
          <w:color w:val="000000" w:themeColor="text1"/>
          <w:lang w:val="en-US"/>
        </w:rPr>
        <w:t>EUCAST</w:t>
      </w:r>
      <w:r w:rsidRPr="006D6392">
        <w:rPr>
          <w:rFonts w:ascii="Arial" w:hAnsi="Arial" w:cs="Arial"/>
          <w:color w:val="000000" w:themeColor="text1"/>
        </w:rPr>
        <w:t xml:space="preserve"> доступных на: </w:t>
      </w:r>
      <w:r w:rsidRPr="006D6392">
        <w:rPr>
          <w:rFonts w:ascii="Arial" w:hAnsi="Arial" w:cs="Arial"/>
          <w:color w:val="000000" w:themeColor="text1"/>
          <w:lang w:val="en-US"/>
        </w:rPr>
        <w:t>http</w:t>
      </w:r>
      <w:r w:rsidRPr="006D6392">
        <w:rPr>
          <w:rFonts w:ascii="Arial" w:hAnsi="Arial" w:cs="Arial"/>
          <w:color w:val="000000" w:themeColor="text1"/>
        </w:rPr>
        <w:t>://</w:t>
      </w:r>
      <w:r w:rsidRPr="006D6392">
        <w:rPr>
          <w:rFonts w:ascii="Arial" w:hAnsi="Arial" w:cs="Arial"/>
          <w:color w:val="000000" w:themeColor="text1"/>
          <w:lang w:val="en-US"/>
        </w:rPr>
        <w:t>www</w:t>
      </w:r>
      <w:r w:rsidRPr="006D6392">
        <w:rPr>
          <w:rFonts w:ascii="Arial" w:hAnsi="Arial" w:cs="Arial"/>
          <w:color w:val="000000" w:themeColor="text1"/>
        </w:rPr>
        <w:t>.</w:t>
      </w:r>
      <w:proofErr w:type="spellStart"/>
      <w:r w:rsidRPr="006D6392">
        <w:rPr>
          <w:rFonts w:ascii="Arial" w:hAnsi="Arial" w:cs="Arial"/>
          <w:color w:val="000000" w:themeColor="text1"/>
          <w:lang w:val="en-US"/>
        </w:rPr>
        <w:t>eucast</w:t>
      </w:r>
      <w:proofErr w:type="spellEnd"/>
      <w:r w:rsidRPr="006D6392">
        <w:rPr>
          <w:rFonts w:ascii="Arial" w:hAnsi="Arial" w:cs="Arial"/>
          <w:color w:val="000000" w:themeColor="text1"/>
        </w:rPr>
        <w:t>.</w:t>
      </w:r>
      <w:r w:rsidRPr="006D6392">
        <w:rPr>
          <w:rFonts w:ascii="Arial" w:hAnsi="Arial" w:cs="Arial"/>
          <w:color w:val="000000" w:themeColor="text1"/>
          <w:lang w:val="en-US"/>
        </w:rPr>
        <w:t>org</w:t>
      </w:r>
      <w:r w:rsidRPr="006D6392">
        <w:rPr>
          <w:rFonts w:ascii="Arial" w:hAnsi="Arial" w:cs="Arial"/>
          <w:color w:val="000000" w:themeColor="text1"/>
        </w:rPr>
        <w:t>/</w:t>
      </w:r>
      <w:proofErr w:type="spellStart"/>
      <w:r w:rsidRPr="006D6392">
        <w:rPr>
          <w:rFonts w:ascii="Arial" w:hAnsi="Arial" w:cs="Arial"/>
          <w:color w:val="000000" w:themeColor="text1"/>
          <w:lang w:val="en-US"/>
        </w:rPr>
        <w:t>ast</w:t>
      </w:r>
      <w:proofErr w:type="spellEnd"/>
      <w:r w:rsidRPr="006D6392">
        <w:rPr>
          <w:rFonts w:ascii="Arial" w:hAnsi="Arial" w:cs="Arial"/>
          <w:color w:val="000000" w:themeColor="text1"/>
        </w:rPr>
        <w:t>_</w:t>
      </w:r>
      <w:r w:rsidRPr="006D6392">
        <w:rPr>
          <w:rFonts w:ascii="Arial" w:hAnsi="Arial" w:cs="Arial"/>
          <w:color w:val="000000" w:themeColor="text1"/>
          <w:lang w:val="en-US"/>
        </w:rPr>
        <w:t>of</w:t>
      </w:r>
      <w:r w:rsidRPr="006D6392">
        <w:rPr>
          <w:rFonts w:ascii="Arial" w:hAnsi="Arial" w:cs="Arial"/>
          <w:color w:val="000000" w:themeColor="text1"/>
        </w:rPr>
        <w:t>_</w:t>
      </w:r>
      <w:r w:rsidRPr="006D6392">
        <w:rPr>
          <w:rFonts w:ascii="Arial" w:hAnsi="Arial" w:cs="Arial"/>
          <w:color w:val="000000" w:themeColor="text1"/>
          <w:lang w:val="en-US"/>
        </w:rPr>
        <w:t>bacteria</w:t>
      </w:r>
      <w:r w:rsidRPr="006D6392">
        <w:rPr>
          <w:rFonts w:ascii="Arial" w:hAnsi="Arial" w:cs="Arial"/>
          <w:color w:val="000000" w:themeColor="text1"/>
        </w:rPr>
        <w:t>/</w:t>
      </w:r>
      <w:r w:rsidRPr="006D6392">
        <w:rPr>
          <w:rFonts w:ascii="Arial" w:hAnsi="Arial" w:cs="Arial"/>
          <w:color w:val="000000" w:themeColor="text1"/>
          <w:lang w:val="en-US"/>
        </w:rPr>
        <w:t>qc</w:t>
      </w:r>
      <w:r w:rsidRPr="006D6392">
        <w:rPr>
          <w:rFonts w:ascii="Arial" w:hAnsi="Arial" w:cs="Arial"/>
          <w:color w:val="000000" w:themeColor="text1"/>
        </w:rPr>
        <w:t>_</w:t>
      </w:r>
      <w:r w:rsidRPr="006D6392">
        <w:rPr>
          <w:rFonts w:ascii="Arial" w:hAnsi="Arial" w:cs="Arial"/>
          <w:color w:val="000000" w:themeColor="text1"/>
          <w:lang w:val="en-US"/>
        </w:rPr>
        <w:t>tables</w:t>
      </w:r>
      <w:r w:rsidRPr="006D6392">
        <w:rPr>
          <w:rFonts w:ascii="Arial" w:hAnsi="Arial" w:cs="Arial"/>
          <w:color w:val="000000" w:themeColor="text1"/>
        </w:rPr>
        <w:t>/.</w:t>
      </w:r>
    </w:p>
    <w:p w:rsidR="009217BF" w:rsidRPr="006D6392" w:rsidRDefault="009217BF" w:rsidP="00CE0B31">
      <w:pPr>
        <w:pageBreakBefore/>
        <w:suppressAutoHyphens w:val="0"/>
        <w:spacing w:line="36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6D6392">
        <w:rPr>
          <w:rFonts w:ascii="Arial" w:hAnsi="Arial" w:cs="Arial"/>
          <w:b/>
          <w:bCs/>
          <w:color w:val="000000" w:themeColor="text1"/>
        </w:rPr>
        <w:lastRenderedPageBreak/>
        <w:t xml:space="preserve">Приложение </w:t>
      </w:r>
      <w:r w:rsidRPr="006D6392">
        <w:rPr>
          <w:rFonts w:ascii="Arial" w:hAnsi="Arial" w:cs="Arial"/>
          <w:b/>
          <w:bCs/>
          <w:color w:val="000000" w:themeColor="text1"/>
          <w:lang w:val="en-GB"/>
        </w:rPr>
        <w:t>D</w:t>
      </w:r>
    </w:p>
    <w:p w:rsidR="009217BF" w:rsidRPr="006D6392" w:rsidRDefault="009217BF" w:rsidP="00CE0B31">
      <w:pPr>
        <w:suppressAutoHyphens w:val="0"/>
        <w:spacing w:line="360" w:lineRule="auto"/>
        <w:jc w:val="center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(</w:t>
      </w:r>
      <w:r w:rsidR="00CE0B31">
        <w:rPr>
          <w:rFonts w:ascii="Arial" w:hAnsi="Arial" w:cs="Arial"/>
          <w:color w:val="000000" w:themeColor="text1"/>
        </w:rPr>
        <w:t>справочное</w:t>
      </w:r>
      <w:r w:rsidRPr="006D6392">
        <w:rPr>
          <w:rFonts w:ascii="Arial" w:hAnsi="Arial" w:cs="Arial"/>
          <w:color w:val="000000" w:themeColor="text1"/>
        </w:rPr>
        <w:t>)</w:t>
      </w:r>
    </w:p>
    <w:p w:rsidR="009217BF" w:rsidRDefault="009217BF" w:rsidP="00CE0B31">
      <w:pPr>
        <w:suppressAutoHyphens w:val="0"/>
        <w:spacing w:line="360" w:lineRule="auto"/>
        <w:jc w:val="center"/>
        <w:rPr>
          <w:rFonts w:ascii="Arial" w:hAnsi="Arial" w:cs="Arial"/>
          <w:b/>
          <w:color w:val="000000" w:themeColor="text1"/>
        </w:rPr>
      </w:pPr>
      <w:r w:rsidRPr="00CE0B31">
        <w:rPr>
          <w:rFonts w:ascii="Arial" w:hAnsi="Arial" w:cs="Arial"/>
          <w:b/>
          <w:color w:val="000000" w:themeColor="text1"/>
        </w:rPr>
        <w:t>Маркировка</w:t>
      </w:r>
    </w:p>
    <w:p w:rsidR="00CE0B31" w:rsidRPr="00CE0B31" w:rsidRDefault="00CE0B31" w:rsidP="00CE0B31">
      <w:pPr>
        <w:suppressAutoHyphens w:val="0"/>
        <w:spacing w:line="360" w:lineRule="auto"/>
        <w:jc w:val="center"/>
        <w:rPr>
          <w:rFonts w:ascii="Arial" w:hAnsi="Arial" w:cs="Arial"/>
          <w:b/>
          <w:color w:val="000000" w:themeColor="text1"/>
        </w:rPr>
      </w:pPr>
    </w:p>
    <w:p w:rsidR="009217BF" w:rsidRPr="006D6392" w:rsidRDefault="009217BF" w:rsidP="00CE0B31">
      <w:pPr>
        <w:suppressAutoHyphens w:val="0"/>
        <w:spacing w:line="360" w:lineRule="auto"/>
        <w:ind w:firstLine="567"/>
        <w:jc w:val="both"/>
        <w:rPr>
          <w:rFonts w:ascii="Arial" w:hAnsi="Arial" w:cs="Arial"/>
          <w:b/>
          <w:bCs/>
          <w:color w:val="000000" w:themeColor="text1"/>
        </w:rPr>
      </w:pPr>
      <w:r w:rsidRPr="006D6392">
        <w:rPr>
          <w:rFonts w:ascii="Arial" w:hAnsi="Arial" w:cs="Arial"/>
          <w:b/>
          <w:bCs/>
          <w:color w:val="000000" w:themeColor="text1"/>
          <w:lang w:val="en-GB"/>
        </w:rPr>
        <w:t>D</w:t>
      </w:r>
      <w:r w:rsidRPr="006D6392">
        <w:rPr>
          <w:rFonts w:ascii="Arial" w:hAnsi="Arial" w:cs="Arial"/>
          <w:b/>
          <w:bCs/>
          <w:color w:val="000000" w:themeColor="text1"/>
        </w:rPr>
        <w:t xml:space="preserve">.1 </w:t>
      </w:r>
      <w:proofErr w:type="spellStart"/>
      <w:r w:rsidRPr="006D6392">
        <w:rPr>
          <w:rFonts w:ascii="Arial" w:hAnsi="Arial" w:cs="Arial"/>
          <w:b/>
          <w:bCs/>
          <w:color w:val="000000" w:themeColor="text1"/>
        </w:rPr>
        <w:t>Дегидратированный</w:t>
      </w:r>
      <w:proofErr w:type="spellEnd"/>
      <w:r w:rsidRPr="006D6392">
        <w:rPr>
          <w:rFonts w:ascii="Arial" w:hAnsi="Arial" w:cs="Arial"/>
          <w:b/>
          <w:bCs/>
          <w:color w:val="000000" w:themeColor="text1"/>
        </w:rPr>
        <w:t xml:space="preserve"> бульон </w:t>
      </w:r>
      <w:proofErr w:type="spellStart"/>
      <w:r w:rsidR="00063991">
        <w:rPr>
          <w:rFonts w:ascii="Arial" w:hAnsi="Arial" w:cs="Arial"/>
          <w:b/>
          <w:bCs/>
          <w:color w:val="000000" w:themeColor="text1"/>
        </w:rPr>
        <w:t>Mueller-Hinton</w:t>
      </w:r>
      <w:proofErr w:type="spellEnd"/>
    </w:p>
    <w:p w:rsidR="009217BF" w:rsidRPr="006D6392" w:rsidRDefault="009217BF" w:rsidP="00CE0B31">
      <w:pPr>
        <w:suppressAutoHyphens w:val="0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Если все критерии эффективности для всех комбинаций микроорганизм-антимикробный агент находятся в допустимых пределах и все физические и химические характеристики соответствуют требованиям, производитель может указать для этой производственной партии, что </w:t>
      </w:r>
      <w:proofErr w:type="spellStart"/>
      <w:r w:rsidRPr="006D6392">
        <w:rPr>
          <w:rFonts w:ascii="Arial" w:hAnsi="Arial" w:cs="Arial"/>
          <w:color w:val="000000" w:themeColor="text1"/>
        </w:rPr>
        <w:t>дБМХ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(номер партии) соответствует критериям, изложенным в </w:t>
      </w:r>
      <w:r w:rsidRPr="006D6392">
        <w:rPr>
          <w:rFonts w:ascii="Arial" w:hAnsi="Arial" w:cs="Arial"/>
          <w:color w:val="000000" w:themeColor="text1"/>
          <w:lang w:val="en-US"/>
        </w:rPr>
        <w:t>ISO</w:t>
      </w:r>
      <w:r w:rsidRPr="006D6392">
        <w:rPr>
          <w:rFonts w:ascii="Arial" w:hAnsi="Arial" w:cs="Arial"/>
          <w:color w:val="000000" w:themeColor="text1"/>
        </w:rPr>
        <w:t xml:space="preserve"> 16782 для исследования антимикробной чувствительности. Для стандартных партий продукции </w:t>
      </w:r>
      <w:proofErr w:type="spellStart"/>
      <w:r w:rsidRPr="006D6392">
        <w:rPr>
          <w:rFonts w:ascii="Arial" w:hAnsi="Arial" w:cs="Arial"/>
          <w:color w:val="000000" w:themeColor="text1"/>
        </w:rPr>
        <w:t>дБМХ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бульон, приготовленный из обезвоженного продукта, должен содержать не более 25 мг / л </w:t>
      </w:r>
      <w:r w:rsidRPr="006D6392">
        <w:rPr>
          <w:rFonts w:ascii="Arial" w:hAnsi="Arial" w:cs="Arial"/>
          <w:color w:val="000000" w:themeColor="text1"/>
          <w:lang w:val="en-US"/>
        </w:rPr>
        <w:t>Ca</w:t>
      </w:r>
      <w:r w:rsidRPr="006D6392">
        <w:rPr>
          <w:rFonts w:ascii="Arial" w:hAnsi="Arial" w:cs="Arial"/>
          <w:color w:val="000000" w:themeColor="text1"/>
        </w:rPr>
        <w:t xml:space="preserve">2 +, 12,5 мг / л </w:t>
      </w:r>
      <w:r w:rsidRPr="006D6392">
        <w:rPr>
          <w:rFonts w:ascii="Arial" w:hAnsi="Arial" w:cs="Arial"/>
          <w:color w:val="000000" w:themeColor="text1"/>
          <w:lang w:val="en-US"/>
        </w:rPr>
        <w:t>Mg</w:t>
      </w:r>
      <w:r w:rsidRPr="006D6392">
        <w:rPr>
          <w:rFonts w:ascii="Arial" w:hAnsi="Arial" w:cs="Arial"/>
          <w:color w:val="000000" w:themeColor="text1"/>
        </w:rPr>
        <w:t xml:space="preserve">2 + и должен содержать менее 3 мг / л ионов цинка. Пользователю </w:t>
      </w:r>
      <w:proofErr w:type="spellStart"/>
      <w:r w:rsidRPr="006D6392">
        <w:rPr>
          <w:rFonts w:ascii="Arial" w:hAnsi="Arial" w:cs="Arial"/>
          <w:color w:val="000000" w:themeColor="text1"/>
        </w:rPr>
        <w:t>дБМХ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должен быть предоставлен сертификат анализа, в котором указаны концентрации этих ионов в партии обезвоженной среды и указано, требуется ли дополнительный кальций и / или магний для достижения концентраций, указанных в </w:t>
      </w:r>
      <w:r w:rsidRPr="006D6392">
        <w:rPr>
          <w:rFonts w:ascii="Arial" w:hAnsi="Arial" w:cs="Arial"/>
          <w:color w:val="000000" w:themeColor="text1"/>
          <w:lang w:val="en-US"/>
        </w:rPr>
        <w:t>ISO</w:t>
      </w:r>
      <w:r w:rsidRPr="006D6392">
        <w:rPr>
          <w:rFonts w:ascii="Arial" w:hAnsi="Arial" w:cs="Arial"/>
          <w:color w:val="000000" w:themeColor="text1"/>
        </w:rPr>
        <w:t xml:space="preserve"> 20776-1. </w:t>
      </w:r>
    </w:p>
    <w:p w:rsidR="009217BF" w:rsidRPr="006D6392" w:rsidRDefault="009217BF" w:rsidP="00CE0B31">
      <w:pPr>
        <w:suppressAutoHyphens w:val="0"/>
        <w:spacing w:line="360" w:lineRule="auto"/>
        <w:ind w:firstLine="567"/>
        <w:jc w:val="both"/>
        <w:rPr>
          <w:rFonts w:ascii="Arial" w:hAnsi="Arial" w:cs="Arial"/>
          <w:b/>
          <w:bCs/>
          <w:color w:val="000000" w:themeColor="text1"/>
        </w:rPr>
      </w:pPr>
      <w:r w:rsidRPr="006D6392">
        <w:rPr>
          <w:rFonts w:ascii="Arial" w:hAnsi="Arial" w:cs="Arial"/>
          <w:b/>
          <w:bCs/>
          <w:color w:val="000000" w:themeColor="text1"/>
          <w:lang w:val="en-US"/>
        </w:rPr>
        <w:t>D</w:t>
      </w:r>
      <w:r w:rsidRPr="006D6392">
        <w:rPr>
          <w:rFonts w:ascii="Arial" w:hAnsi="Arial" w:cs="Arial"/>
          <w:b/>
          <w:bCs/>
          <w:color w:val="000000" w:themeColor="text1"/>
        </w:rPr>
        <w:t xml:space="preserve">.2 </w:t>
      </w:r>
      <w:proofErr w:type="spellStart"/>
      <w:r w:rsidRPr="006D6392">
        <w:rPr>
          <w:rFonts w:ascii="Arial" w:hAnsi="Arial" w:cs="Arial"/>
          <w:b/>
          <w:bCs/>
          <w:color w:val="000000" w:themeColor="text1"/>
        </w:rPr>
        <w:t>Дегидратированный</w:t>
      </w:r>
      <w:proofErr w:type="spellEnd"/>
      <w:r w:rsidRPr="006D6392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b/>
          <w:bCs/>
          <w:color w:val="000000" w:themeColor="text1"/>
        </w:rPr>
        <w:t>агар</w:t>
      </w:r>
      <w:proofErr w:type="spellEnd"/>
      <w:r w:rsidRPr="006D6392">
        <w:rPr>
          <w:rFonts w:ascii="Arial" w:hAnsi="Arial" w:cs="Arial"/>
          <w:b/>
          <w:bCs/>
          <w:color w:val="000000" w:themeColor="text1"/>
        </w:rPr>
        <w:t xml:space="preserve"> </w:t>
      </w:r>
      <w:proofErr w:type="spellStart"/>
      <w:r w:rsidR="00063991">
        <w:rPr>
          <w:rFonts w:ascii="Arial" w:hAnsi="Arial" w:cs="Arial"/>
          <w:b/>
          <w:bCs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b/>
          <w:bCs/>
          <w:color w:val="000000" w:themeColor="text1"/>
        </w:rPr>
        <w:t xml:space="preserve"> </w:t>
      </w:r>
    </w:p>
    <w:p w:rsidR="009217BF" w:rsidRPr="006D6392" w:rsidRDefault="009217BF" w:rsidP="00CE0B31">
      <w:pPr>
        <w:suppressAutoHyphens w:val="0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Если все критерии для всех комбинаций микроорганизм-антимикробный агент находятся в допустимых пределах и все физические и химические характеристики соответствуют требованиям, производитель может указать для этой производственной партии, что </w:t>
      </w:r>
      <w:proofErr w:type="spellStart"/>
      <w:r w:rsidRPr="006D6392">
        <w:rPr>
          <w:rFonts w:ascii="Arial" w:hAnsi="Arial" w:cs="Arial"/>
          <w:color w:val="000000" w:themeColor="text1"/>
          <w:lang w:val="en-US"/>
        </w:rPr>
        <w:t>dMHA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(номер партии) соответствует критериям эффективности, изложенным в </w:t>
      </w:r>
      <w:r w:rsidRPr="006D6392">
        <w:rPr>
          <w:rFonts w:ascii="Arial" w:hAnsi="Arial" w:cs="Arial"/>
          <w:color w:val="000000" w:themeColor="text1"/>
          <w:lang w:val="en-US"/>
        </w:rPr>
        <w:t>ISO</w:t>
      </w:r>
      <w:r w:rsidRPr="006D6392">
        <w:rPr>
          <w:rFonts w:ascii="Arial" w:hAnsi="Arial" w:cs="Arial"/>
          <w:color w:val="000000" w:themeColor="text1"/>
        </w:rPr>
        <w:t xml:space="preserve"> 16782 </w:t>
      </w:r>
      <w:proofErr w:type="gramStart"/>
      <w:r w:rsidRPr="006D6392">
        <w:rPr>
          <w:rFonts w:ascii="Arial" w:hAnsi="Arial" w:cs="Arial"/>
          <w:color w:val="000000" w:themeColor="text1"/>
        </w:rPr>
        <w:t>для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</w:t>
      </w:r>
      <w:proofErr w:type="gramStart"/>
      <w:r w:rsidRPr="006D6392">
        <w:rPr>
          <w:rFonts w:ascii="Arial" w:hAnsi="Arial" w:cs="Arial"/>
          <w:color w:val="000000" w:themeColor="text1"/>
        </w:rPr>
        <w:t>тестирование</w:t>
      </w:r>
      <w:proofErr w:type="gramEnd"/>
      <w:r w:rsidRPr="006D6392">
        <w:rPr>
          <w:rFonts w:ascii="Arial" w:hAnsi="Arial" w:cs="Arial"/>
          <w:color w:val="000000" w:themeColor="text1"/>
        </w:rPr>
        <w:t xml:space="preserve"> антимикробной чувствительности.</w:t>
      </w:r>
    </w:p>
    <w:p w:rsidR="009217BF" w:rsidRPr="006D6392" w:rsidRDefault="009217BF" w:rsidP="00CE0B31">
      <w:pPr>
        <w:suppressAutoHyphens w:val="0"/>
        <w:spacing w:line="360" w:lineRule="auto"/>
        <w:ind w:firstLine="567"/>
        <w:jc w:val="both"/>
        <w:rPr>
          <w:rFonts w:ascii="Arial" w:hAnsi="Arial" w:cs="Arial"/>
          <w:b/>
          <w:bCs/>
          <w:color w:val="000000" w:themeColor="text1"/>
        </w:rPr>
      </w:pPr>
      <w:r w:rsidRPr="006D6392">
        <w:rPr>
          <w:rFonts w:ascii="Arial" w:hAnsi="Arial" w:cs="Arial"/>
          <w:b/>
          <w:bCs/>
          <w:color w:val="000000" w:themeColor="text1"/>
          <w:lang w:val="en-US"/>
        </w:rPr>
        <w:t>D</w:t>
      </w:r>
      <w:r w:rsidRPr="006D6392">
        <w:rPr>
          <w:rFonts w:ascii="Arial" w:hAnsi="Arial" w:cs="Arial"/>
          <w:b/>
          <w:bCs/>
          <w:color w:val="000000" w:themeColor="text1"/>
        </w:rPr>
        <w:t>.3 Указание на этикетке</w:t>
      </w:r>
    </w:p>
    <w:p w:rsidR="009217BF" w:rsidRPr="006D6392" w:rsidRDefault="009217BF" w:rsidP="00CE0B31">
      <w:pPr>
        <w:suppressAutoHyphens w:val="0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 xml:space="preserve">Для приемлемых партий к этикетке продукта или инструкции по применению может быть добавлено следующее утверждение: «Эта партия </w:t>
      </w:r>
      <w:proofErr w:type="spellStart"/>
      <w:r w:rsidRPr="006D6392">
        <w:rPr>
          <w:rFonts w:ascii="Arial" w:hAnsi="Arial" w:cs="Arial"/>
          <w:color w:val="000000" w:themeColor="text1"/>
        </w:rPr>
        <w:t>дегидратированного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</w:t>
      </w:r>
      <w:proofErr w:type="spellStart"/>
      <w:r w:rsidRPr="006D6392">
        <w:rPr>
          <w:rFonts w:ascii="Arial" w:hAnsi="Arial" w:cs="Arial"/>
          <w:color w:val="000000" w:themeColor="text1"/>
        </w:rPr>
        <w:t>агара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/ бульона </w:t>
      </w:r>
      <w:proofErr w:type="spellStart"/>
      <w:r w:rsidR="00063991">
        <w:rPr>
          <w:rFonts w:ascii="Arial" w:hAnsi="Arial" w:cs="Arial"/>
          <w:color w:val="000000" w:themeColor="text1"/>
        </w:rPr>
        <w:t>Mueller-Hinton</w:t>
      </w:r>
      <w:proofErr w:type="spellEnd"/>
      <w:r w:rsidRPr="006D6392">
        <w:rPr>
          <w:rFonts w:ascii="Arial" w:hAnsi="Arial" w:cs="Arial"/>
          <w:color w:val="000000" w:themeColor="text1"/>
        </w:rPr>
        <w:t xml:space="preserve"> была протестирована в соответствии с </w:t>
      </w:r>
      <w:r w:rsidRPr="006D6392">
        <w:rPr>
          <w:rFonts w:ascii="Arial" w:hAnsi="Arial" w:cs="Arial"/>
          <w:color w:val="000000" w:themeColor="text1"/>
          <w:lang w:val="en-US"/>
        </w:rPr>
        <w:t>ISO</w:t>
      </w:r>
      <w:r w:rsidRPr="006D6392">
        <w:rPr>
          <w:rFonts w:ascii="Arial" w:hAnsi="Arial" w:cs="Arial"/>
          <w:color w:val="000000" w:themeColor="text1"/>
        </w:rPr>
        <w:t xml:space="preserve"> 16782 и соответствует критериям контроля качества, как указано в </w:t>
      </w:r>
      <w:r w:rsidRPr="006D6392">
        <w:rPr>
          <w:rFonts w:ascii="Arial" w:hAnsi="Arial" w:cs="Arial"/>
          <w:color w:val="000000" w:themeColor="text1"/>
          <w:lang w:val="en-US"/>
        </w:rPr>
        <w:t>ISO</w:t>
      </w:r>
      <w:r w:rsidRPr="006D6392">
        <w:rPr>
          <w:rFonts w:ascii="Arial" w:hAnsi="Arial" w:cs="Arial"/>
          <w:color w:val="000000" w:themeColor="text1"/>
        </w:rPr>
        <w:t xml:space="preserve"> 16782». </w:t>
      </w:r>
    </w:p>
    <w:p w:rsidR="009217BF" w:rsidRPr="006D6392" w:rsidRDefault="009217BF" w:rsidP="00CE0B31">
      <w:pPr>
        <w:suppressAutoHyphens w:val="0"/>
        <w:spacing w:line="360" w:lineRule="auto"/>
        <w:ind w:firstLine="567"/>
        <w:jc w:val="both"/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Данные должны храниться в файле и результаты должны быть доступны любому по запросу.</w:t>
      </w:r>
    </w:p>
    <w:p w:rsidR="005F7F84" w:rsidRPr="006D6392" w:rsidRDefault="005F7F84" w:rsidP="002510CF">
      <w:pPr>
        <w:suppressAutoHyphens w:val="0"/>
        <w:spacing w:line="360" w:lineRule="auto"/>
        <w:rPr>
          <w:rFonts w:ascii="Arial" w:hAnsi="Arial" w:cs="Arial"/>
          <w:color w:val="000000" w:themeColor="text1"/>
        </w:rPr>
      </w:pPr>
    </w:p>
    <w:p w:rsidR="00CE0B31" w:rsidRPr="006D6392" w:rsidRDefault="00CE0B31" w:rsidP="00CE0B31">
      <w:pPr>
        <w:pStyle w:val="1"/>
        <w:pageBreakBefore/>
        <w:spacing w:before="0"/>
        <w:jc w:val="center"/>
        <w:rPr>
          <w:rFonts w:ascii="Arial" w:hAnsi="Arial" w:cs="Arial"/>
          <w:color w:val="000000" w:themeColor="text1"/>
        </w:rPr>
      </w:pPr>
      <w:bookmarkStart w:id="10" w:name="_Toc41224740"/>
      <w:r w:rsidRPr="006D6392">
        <w:rPr>
          <w:rFonts w:ascii="Arial" w:hAnsi="Arial" w:cs="Arial"/>
          <w:color w:val="000000" w:themeColor="text1"/>
        </w:rPr>
        <w:lastRenderedPageBreak/>
        <w:t>Приложение ДА</w:t>
      </w:r>
      <w:r w:rsidRPr="006D6392">
        <w:rPr>
          <w:rFonts w:ascii="Arial" w:hAnsi="Arial" w:cs="Arial"/>
          <w:color w:val="000000" w:themeColor="text1"/>
        </w:rPr>
        <w:br/>
      </w:r>
      <w:r w:rsidRPr="006D6392">
        <w:rPr>
          <w:rFonts w:ascii="Arial" w:hAnsi="Arial" w:cs="Arial"/>
          <w:b w:val="0"/>
          <w:color w:val="000000" w:themeColor="text1"/>
        </w:rPr>
        <w:t>(справочное)</w:t>
      </w:r>
      <w:r w:rsidRPr="006D6392">
        <w:rPr>
          <w:rFonts w:ascii="Arial" w:hAnsi="Arial" w:cs="Arial"/>
          <w:color w:val="000000" w:themeColor="text1"/>
        </w:rPr>
        <w:br/>
        <w:t>Сведения о соответствии ссылочных международных стандартов национальным стандартам</w:t>
      </w:r>
      <w:bookmarkEnd w:id="10"/>
    </w:p>
    <w:p w:rsidR="00CE0B31" w:rsidRPr="006D6392" w:rsidRDefault="00CE0B31" w:rsidP="00CE0B31">
      <w:pPr>
        <w:spacing w:line="360" w:lineRule="auto"/>
        <w:rPr>
          <w:rFonts w:ascii="Arial" w:hAnsi="Arial" w:cs="Arial"/>
          <w:color w:val="000000" w:themeColor="text1"/>
          <w:lang w:eastAsia="ja-JP"/>
        </w:rPr>
      </w:pPr>
      <w:r w:rsidRPr="006D6392">
        <w:rPr>
          <w:rFonts w:ascii="Arial" w:hAnsi="Arial" w:cs="Arial"/>
          <w:color w:val="000000" w:themeColor="text1"/>
          <w:spacing w:val="40"/>
        </w:rPr>
        <w:t>Таблица</w:t>
      </w:r>
      <w:r w:rsidRPr="006D6392">
        <w:rPr>
          <w:rFonts w:ascii="Arial" w:hAnsi="Arial" w:cs="Arial"/>
          <w:color w:val="000000" w:themeColor="text1"/>
        </w:rPr>
        <w:t xml:space="preserve"> ДА.1</w:t>
      </w:r>
    </w:p>
    <w:tbl>
      <w:tblPr>
        <w:tblW w:w="9791" w:type="dxa"/>
        <w:jc w:val="center"/>
        <w:tblBorders>
          <w:top w:val="single" w:sz="4" w:space="0" w:color="00000A"/>
          <w:left w:val="single" w:sz="4" w:space="0" w:color="00000A"/>
          <w:bottom w:val="double" w:sz="4" w:space="0" w:color="00000A"/>
          <w:right w:val="single" w:sz="4" w:space="0" w:color="00000A"/>
          <w:insideH w:val="doub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2662"/>
        <w:gridCol w:w="1706"/>
        <w:gridCol w:w="5423"/>
      </w:tblGrid>
      <w:tr w:rsidR="00CE0B31" w:rsidRPr="006D6392" w:rsidTr="00927ECE">
        <w:trPr>
          <w:jc w:val="center"/>
        </w:trPr>
        <w:tc>
          <w:tcPr>
            <w:tcW w:w="2662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E0B31" w:rsidRPr="006D6392" w:rsidRDefault="00CE0B31" w:rsidP="00927ECE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6D6392">
              <w:rPr>
                <w:rFonts w:ascii="Arial" w:hAnsi="Arial" w:cs="Arial"/>
                <w:color w:val="000000" w:themeColor="text1"/>
              </w:rPr>
              <w:t>Обозначение ссылочного международного стандарта</w:t>
            </w:r>
          </w:p>
        </w:tc>
        <w:tc>
          <w:tcPr>
            <w:tcW w:w="1705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E0B31" w:rsidRPr="006D6392" w:rsidRDefault="00CE0B31" w:rsidP="00927ECE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6D6392">
              <w:rPr>
                <w:rFonts w:ascii="Arial" w:hAnsi="Arial" w:cs="Arial"/>
                <w:color w:val="000000" w:themeColor="text1"/>
              </w:rPr>
              <w:t>Степень соответствия</w:t>
            </w:r>
          </w:p>
        </w:tc>
        <w:tc>
          <w:tcPr>
            <w:tcW w:w="5424" w:type="dxa"/>
            <w:tcBorders>
              <w:top w:val="single" w:sz="4" w:space="0" w:color="00000A"/>
              <w:left w:val="single" w:sz="4" w:space="0" w:color="00000A"/>
              <w:bottom w:val="doub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E0B31" w:rsidRPr="006D6392" w:rsidRDefault="00CE0B31" w:rsidP="00927ECE">
            <w:pPr>
              <w:spacing w:before="120" w:after="120"/>
              <w:jc w:val="center"/>
              <w:rPr>
                <w:rFonts w:ascii="Arial" w:hAnsi="Arial" w:cs="Arial"/>
                <w:color w:val="000000" w:themeColor="text1"/>
              </w:rPr>
            </w:pPr>
            <w:r w:rsidRPr="006D6392">
              <w:rPr>
                <w:rFonts w:ascii="Arial" w:hAnsi="Arial" w:cs="Arial"/>
                <w:color w:val="000000" w:themeColor="text1"/>
              </w:rPr>
              <w:t xml:space="preserve">Обозначение и наименование соответствующего национального стандарта </w:t>
            </w:r>
          </w:p>
        </w:tc>
      </w:tr>
      <w:tr w:rsidR="00CE0B31" w:rsidRPr="006D6392" w:rsidTr="00927ECE">
        <w:trPr>
          <w:jc w:val="center"/>
        </w:trPr>
        <w:tc>
          <w:tcPr>
            <w:tcW w:w="2662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E0B31" w:rsidRPr="006D6392" w:rsidRDefault="00CE0B31" w:rsidP="00927ECE">
            <w:pPr>
              <w:rPr>
                <w:rFonts w:ascii="Arial" w:hAnsi="Arial" w:cs="Arial"/>
                <w:color w:val="000000" w:themeColor="text1"/>
              </w:rPr>
            </w:pPr>
          </w:p>
          <w:p w:rsidR="00CE0B31" w:rsidRPr="006D6392" w:rsidRDefault="00CE0B31" w:rsidP="00927ECE">
            <w:pPr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 xml:space="preserve">ISO 15189:2012 </w:t>
            </w:r>
          </w:p>
          <w:p w:rsidR="00CE0B31" w:rsidRPr="006D6392" w:rsidRDefault="00CE0B31" w:rsidP="00927ECE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CE0B31" w:rsidRPr="006D6392" w:rsidRDefault="00CE0B31" w:rsidP="00927ECE">
            <w:pPr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1705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E0B31" w:rsidRPr="006D6392" w:rsidRDefault="00CE0B31" w:rsidP="00927ECE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CE0B31" w:rsidRPr="006D6392" w:rsidRDefault="00CE0B31" w:rsidP="00927ECE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  <w:r w:rsidRPr="006D6392">
              <w:rPr>
                <w:rFonts w:ascii="Arial" w:hAnsi="Arial" w:cs="Arial"/>
                <w:color w:val="000000" w:themeColor="text1"/>
                <w:lang w:val="en-US"/>
              </w:rPr>
              <w:t>IDT</w:t>
            </w:r>
          </w:p>
          <w:p w:rsidR="00CE0B31" w:rsidRPr="006D6392" w:rsidRDefault="00CE0B31" w:rsidP="00927ECE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CE0B31" w:rsidRPr="006D6392" w:rsidRDefault="00CE0B31" w:rsidP="00927ECE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</w:p>
          <w:p w:rsidR="00CE0B31" w:rsidRPr="006D6392" w:rsidRDefault="00CE0B31" w:rsidP="00927ECE">
            <w:pPr>
              <w:jc w:val="center"/>
              <w:rPr>
                <w:rFonts w:ascii="Arial" w:hAnsi="Arial" w:cs="Arial"/>
                <w:color w:val="000000" w:themeColor="text1"/>
                <w:lang w:val="en-US"/>
              </w:rPr>
            </w:pPr>
          </w:p>
        </w:tc>
        <w:tc>
          <w:tcPr>
            <w:tcW w:w="5424" w:type="dxa"/>
            <w:tcBorders>
              <w:top w:val="doub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CE0B31" w:rsidRPr="006D6392" w:rsidRDefault="00CE0B31" w:rsidP="00927ECE">
            <w:pPr>
              <w:rPr>
                <w:rFonts w:ascii="Arial" w:hAnsi="Arial" w:cs="Arial"/>
                <w:color w:val="000000" w:themeColor="text1"/>
              </w:rPr>
            </w:pPr>
          </w:p>
          <w:p w:rsidR="00CE0B31" w:rsidRPr="006D6392" w:rsidRDefault="00CE0B31" w:rsidP="00927ECE">
            <w:pPr>
              <w:rPr>
                <w:rFonts w:ascii="Arial" w:hAnsi="Arial" w:cs="Arial"/>
                <w:color w:val="000000" w:themeColor="text1"/>
              </w:rPr>
            </w:pPr>
            <w:r w:rsidRPr="006D6392">
              <w:rPr>
                <w:rFonts w:ascii="Arial" w:hAnsi="Arial" w:cs="Arial"/>
                <w:color w:val="000000" w:themeColor="text1"/>
              </w:rPr>
              <w:t>ГОСТ Р ИСО 15189-2015 Лаборатории медицинские. Частные требования к качеству и компетентности</w:t>
            </w:r>
          </w:p>
        </w:tc>
      </w:tr>
      <w:tr w:rsidR="00CE0B31" w:rsidRPr="006D6392" w:rsidTr="00927ECE">
        <w:trPr>
          <w:jc w:val="center"/>
        </w:trPr>
        <w:tc>
          <w:tcPr>
            <w:tcW w:w="979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CE0B31" w:rsidRPr="006D6392" w:rsidRDefault="00CE0B31" w:rsidP="00927ECE">
            <w:pPr>
              <w:widowControl w:val="0"/>
              <w:spacing w:line="360" w:lineRule="auto"/>
              <w:ind w:firstLine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6D6392">
              <w:rPr>
                <w:rFonts w:ascii="Arial" w:hAnsi="Arial" w:cs="Arial"/>
                <w:color w:val="000000" w:themeColor="text1"/>
                <w:spacing w:val="40"/>
                <w:sz w:val="20"/>
                <w:szCs w:val="20"/>
              </w:rPr>
              <w:t>Примечани</w:t>
            </w:r>
            <w:proofErr w:type="gramStart"/>
            <w:r w:rsidRPr="006D6392">
              <w:rPr>
                <w:rFonts w:ascii="Arial" w:hAnsi="Arial" w:cs="Arial"/>
                <w:color w:val="000000" w:themeColor="text1"/>
                <w:spacing w:val="40"/>
                <w:sz w:val="20"/>
                <w:szCs w:val="20"/>
              </w:rPr>
              <w:t>е</w:t>
            </w:r>
            <w:r w:rsidRPr="006D6392">
              <w:rPr>
                <w:rFonts w:ascii="Arial" w:hAnsi="Arial" w:cs="Arial"/>
                <w:color w:val="000000" w:themeColor="text1"/>
                <w:sz w:val="20"/>
                <w:szCs w:val="20"/>
              </w:rPr>
              <w:t>–</w:t>
            </w:r>
            <w:proofErr w:type="gramEnd"/>
            <w:r w:rsidRPr="006D63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В настоящей таблице использовано следующее условное обозначение степени соответствия стандартов:</w:t>
            </w:r>
          </w:p>
          <w:p w:rsidR="00CE0B31" w:rsidRPr="006D6392" w:rsidRDefault="00CE0B31" w:rsidP="00927ECE">
            <w:pPr>
              <w:spacing w:line="360" w:lineRule="auto"/>
              <w:ind w:left="720"/>
              <w:rPr>
                <w:rFonts w:ascii="Arial" w:hAnsi="Arial" w:cs="Arial"/>
                <w:color w:val="000000" w:themeColor="text1"/>
              </w:rPr>
            </w:pPr>
            <w:r w:rsidRPr="006D63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 w:rsidRPr="006D6392"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  <w:t>IDT</w:t>
            </w:r>
            <w:r w:rsidRPr="006D639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– идентичные стандарты.</w:t>
            </w:r>
          </w:p>
        </w:tc>
      </w:tr>
    </w:tbl>
    <w:p w:rsidR="00CE0B31" w:rsidRPr="006D6392" w:rsidRDefault="00CE0B31" w:rsidP="00CE0B31">
      <w:pPr>
        <w:ind w:firstLine="720"/>
        <w:jc w:val="both"/>
        <w:rPr>
          <w:color w:val="000000" w:themeColor="text1"/>
        </w:rPr>
      </w:pPr>
    </w:p>
    <w:p w:rsidR="00CE0B31" w:rsidRPr="006D6392" w:rsidRDefault="00CE0B31" w:rsidP="00CE0B31">
      <w:pPr>
        <w:spacing w:line="360" w:lineRule="auto"/>
        <w:ind w:firstLine="720"/>
        <w:jc w:val="both"/>
        <w:rPr>
          <w:rFonts w:ascii="Arial" w:hAnsi="Arial" w:cs="Arial"/>
          <w:color w:val="000000" w:themeColor="text1"/>
        </w:rPr>
      </w:pPr>
      <w:r w:rsidRPr="006D6392">
        <w:rPr>
          <w:color w:val="000000" w:themeColor="text1"/>
        </w:rPr>
        <w:br w:type="page"/>
      </w:r>
    </w:p>
    <w:p w:rsidR="00C66504" w:rsidRPr="006D6392" w:rsidRDefault="00FB7E98" w:rsidP="00CE0B31">
      <w:pPr>
        <w:pStyle w:val="1"/>
        <w:pageBreakBefore/>
        <w:spacing w:before="240" w:after="240"/>
        <w:jc w:val="center"/>
        <w:rPr>
          <w:rFonts w:ascii="Arial" w:hAnsi="Arial" w:cs="Arial"/>
          <w:color w:val="000000" w:themeColor="text1"/>
        </w:rPr>
      </w:pPr>
      <w:bookmarkStart w:id="11" w:name="_Toc41224741"/>
      <w:r w:rsidRPr="006D6392">
        <w:rPr>
          <w:rFonts w:ascii="Arial" w:hAnsi="Arial" w:cs="Arial"/>
          <w:color w:val="000000" w:themeColor="text1"/>
        </w:rPr>
        <w:lastRenderedPageBreak/>
        <w:t>Библиография</w:t>
      </w:r>
      <w:bookmarkEnd w:id="11"/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i/>
          <w:color w:val="000000" w:themeColor="text1"/>
          <w:lang w:val="en-US" w:eastAsia="en-US" w:bidi="en-US"/>
        </w:rPr>
      </w:pPr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ISO Guide 30:2015, </w:t>
      </w:r>
      <w:r w:rsidRPr="006D6392">
        <w:rPr>
          <w:rFonts w:ascii="Arial" w:eastAsiaTheme="minorHAnsi" w:hAnsi="Arial" w:cs="Arial"/>
          <w:i/>
          <w:color w:val="000000" w:themeColor="text1"/>
          <w:lang w:val="en-US" w:eastAsia="en-US" w:bidi="en-US"/>
        </w:rPr>
        <w:t>Reference materials — Selected terms and definitions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i/>
          <w:color w:val="000000" w:themeColor="text1"/>
          <w:lang w:val="en-US" w:eastAsia="en-US" w:bidi="en-US"/>
        </w:rPr>
      </w:pPr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ISO 9000:2015, </w:t>
      </w:r>
      <w:r w:rsidRPr="006D6392">
        <w:rPr>
          <w:rFonts w:ascii="Arial" w:eastAsiaTheme="minorHAnsi" w:hAnsi="Arial" w:cs="Arial"/>
          <w:i/>
          <w:color w:val="000000" w:themeColor="text1"/>
          <w:lang w:val="en-US" w:eastAsia="en-US" w:bidi="en-US"/>
        </w:rPr>
        <w:t>Quality management systems — Fundamentals and vocabulary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i/>
          <w:color w:val="000000" w:themeColor="text1"/>
          <w:lang w:val="en-US" w:eastAsia="en-US" w:bidi="en-US"/>
        </w:rPr>
      </w:pPr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ISO 15190, </w:t>
      </w:r>
      <w:r w:rsidRPr="006D6392">
        <w:rPr>
          <w:rFonts w:ascii="Arial" w:eastAsiaTheme="minorHAnsi" w:hAnsi="Arial" w:cs="Arial"/>
          <w:i/>
          <w:color w:val="000000" w:themeColor="text1"/>
          <w:lang w:val="en-US" w:eastAsia="en-US" w:bidi="en-US"/>
        </w:rPr>
        <w:t>Medical laboratories — Requirements for safety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i/>
          <w:color w:val="000000" w:themeColor="text1"/>
          <w:lang w:val="en-US" w:eastAsia="en-US" w:bidi="en-US"/>
        </w:rPr>
      </w:pPr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ISO/IEC 17020, </w:t>
      </w:r>
      <w:r w:rsidRPr="006D6392">
        <w:rPr>
          <w:rFonts w:ascii="Arial" w:eastAsiaTheme="minorHAnsi" w:hAnsi="Arial" w:cs="Arial"/>
          <w:i/>
          <w:color w:val="000000" w:themeColor="text1"/>
          <w:lang w:val="en-US" w:eastAsia="en-US" w:bidi="en-US"/>
        </w:rPr>
        <w:t>Conformity assessment — Requirements for the operation of various types of bodies performing inspection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i/>
          <w:color w:val="000000" w:themeColor="text1"/>
          <w:lang w:val="en-US" w:eastAsia="en-US" w:bidi="en-US"/>
        </w:rPr>
      </w:pPr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ISO 17511:2003, </w:t>
      </w:r>
      <w:r w:rsidRPr="006D6392">
        <w:rPr>
          <w:rFonts w:ascii="Arial" w:eastAsiaTheme="minorHAnsi" w:hAnsi="Arial" w:cs="Arial"/>
          <w:i/>
          <w:color w:val="000000" w:themeColor="text1"/>
          <w:lang w:val="en-US" w:eastAsia="en-US" w:bidi="en-US"/>
        </w:rPr>
        <w:t>In vitro diagnostic medical devices — Measurement of quantities in biological samples — Metrological traceability of values assigned to calibrators and control materials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i/>
          <w:color w:val="000000" w:themeColor="text1"/>
          <w:lang w:val="en-US" w:eastAsia="en-US" w:bidi="en-US"/>
        </w:rPr>
      </w:pPr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ISO 22174:2005, </w:t>
      </w:r>
      <w:r w:rsidRPr="006D6392">
        <w:rPr>
          <w:rFonts w:ascii="Arial" w:eastAsiaTheme="minorHAnsi" w:hAnsi="Arial" w:cs="Arial"/>
          <w:i/>
          <w:color w:val="000000" w:themeColor="text1"/>
          <w:lang w:val="en-US" w:eastAsia="en-US" w:bidi="en-US"/>
        </w:rPr>
        <w:t>Microbiology of food and animal feeding stuffs — Polymerase chain reaction (PCR) for the detection of food-borne pathogens — General requirements and definitions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val="en-US" w:eastAsia="en-US" w:bidi="en-US"/>
        </w:rPr>
      </w:pPr>
      <w:bookmarkStart w:id="12" w:name="_bookmark26"/>
      <w:bookmarkEnd w:id="12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Ning </w:t>
      </w:r>
      <w:proofErr w:type="gram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X.H..</w:t>
      </w:r>
      <w:proofErr w:type="gram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Xu C.S., Song Y.C. et al. Hypothermia preserves function and signaling for mitochondrial biogenesis during subsequent ischemia. Am. J. Physiol.  1998 Mar,  274 (3 Pt 2) pp. 786–793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bookmarkStart w:id="13" w:name="_bookmark27"/>
      <w:bookmarkEnd w:id="13"/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Kap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M</w:t>
      </w:r>
      <w:proofErr w:type="gram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..</w:t>
      </w:r>
      <w:proofErr w:type="gram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Sieuwerts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A.M.,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Kubista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M. et al.  The influence of tissue procurement procedures </w:t>
      </w:r>
      <w:proofErr w:type="gram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on  RNA</w:t>
      </w:r>
      <w:proofErr w:type="gram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integrity, gene expression, and morphology in porcine and human liver tissue.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Biopreserv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Biobank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. 2015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Jun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, 13 (3)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pp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>. 200–206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val="en-US" w:eastAsia="en-US"/>
        </w:rPr>
      </w:pPr>
      <w:bookmarkStart w:id="14" w:name="_bookmark28"/>
      <w:bookmarkEnd w:id="14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 xml:space="preserve">Di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>novi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 xml:space="preserve">, </w:t>
      </w:r>
      <w:proofErr w:type="gramStart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>C.,</w:t>
      </w:r>
      <w:proofErr w:type="gramEnd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>Minniti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 xml:space="preserve">, D.,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>Barbaro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 xml:space="preserve">, S., </w:t>
      </w:r>
      <w:r w:rsidRPr="006D6392">
        <w:rPr>
          <w:rFonts w:ascii="Arial" w:eastAsiaTheme="minorHAnsi" w:hAnsi="Arial" w:cs="Arial"/>
          <w:i/>
          <w:color w:val="000000" w:themeColor="text1"/>
          <w:lang w:val="de-DE" w:eastAsia="en-US"/>
        </w:rPr>
        <w:t>et al</w:t>
      </w:r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 xml:space="preserve">. </w:t>
      </w:r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Vacuum-based preservation of surgical specimens: an environmentally-safe step towards a formalin-free hospital. </w:t>
      </w:r>
      <w:r w:rsidRPr="006D6392">
        <w:rPr>
          <w:rFonts w:ascii="Arial" w:eastAsiaTheme="minorHAnsi" w:hAnsi="Arial" w:cs="Arial"/>
          <w:i/>
          <w:color w:val="000000" w:themeColor="text1"/>
          <w:lang w:val="en-US" w:eastAsia="en-US"/>
        </w:rPr>
        <w:t>Sci. Total Environ</w:t>
      </w:r>
      <w:r w:rsidRPr="006D6392">
        <w:rPr>
          <w:rFonts w:ascii="Arial" w:eastAsiaTheme="minorHAnsi" w:hAnsi="Arial" w:cs="Arial"/>
          <w:color w:val="000000" w:themeColor="text1"/>
          <w:lang w:val="en-US" w:eastAsia="en-US"/>
        </w:rPr>
        <w:t>. 2010, Jul 15, 408 (16) pp. 3092–3095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val="en-US" w:eastAsia="en-US" w:bidi="en-US"/>
        </w:rPr>
      </w:pPr>
      <w:bookmarkStart w:id="15" w:name="_bookmark29"/>
      <w:bookmarkEnd w:id="15"/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Mager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S.R.,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Oomen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M.H.,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Morente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M.M. Eur. J. Cancer. 2007 Mar</w:t>
      </w:r>
      <w:proofErr w:type="gram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,  43</w:t>
      </w:r>
      <w:proofErr w:type="gram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(5) pp. 828–834. Available at: Standard operating procedure for the collection of fresh frozen tissue samples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bookmarkStart w:id="16" w:name="_bookmark30"/>
      <w:bookmarkEnd w:id="16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Gottfried B.S., Lee C.J., Bell K.J.  The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Leidenfrost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Phenomenon: Film Boiling of Liquid Droplets on a Flat Plate,</w:t>
      </w:r>
      <w:proofErr w:type="gram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”.</w:t>
      </w:r>
      <w:proofErr w:type="gram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Int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. J.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Heat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Mass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Transfer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. 1966, 9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pp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>. 1167–1187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bookmarkStart w:id="17" w:name="_bookmark31"/>
      <w:bookmarkEnd w:id="17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WHO/IARC Classification of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Tumours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on. </w:t>
      </w:r>
      <w:hyperlink r:id="rId18">
        <w:r w:rsidRPr="006D6392">
          <w:rPr>
            <w:rStyle w:val="aff1"/>
            <w:rFonts w:ascii="Arial" w:eastAsiaTheme="minorHAnsi" w:hAnsi="Arial" w:cs="Arial"/>
            <w:color w:val="000000" w:themeColor="text1"/>
            <w:lang w:eastAsia="en-US"/>
          </w:rPr>
          <w:t>http://whobluebooks.iarc.fr/</w:t>
        </w:r>
      </w:hyperlink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bookmarkStart w:id="18" w:name="_bookmark32"/>
      <w:bookmarkEnd w:id="18"/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Masusda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N., Ohnishi T., Kawamoto S.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Anaylsis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of chemical modification of RNA from formalin- fixed samples and optimization of molecular biology applications for such samples.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Nucleic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Acids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Res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. 1999, 27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pp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>. 4436–4443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val="en-US" w:eastAsia="en-US"/>
        </w:rPr>
      </w:pPr>
      <w:bookmarkStart w:id="19" w:name="_bookmark33"/>
      <w:bookmarkEnd w:id="19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 xml:space="preserve">Chung, J.Y.,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>BraunSshweig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 xml:space="preserve">, T.,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>Willians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 xml:space="preserve">, R., </w:t>
      </w:r>
      <w:r w:rsidRPr="006D6392">
        <w:rPr>
          <w:rFonts w:ascii="Arial" w:eastAsiaTheme="minorHAnsi" w:hAnsi="Arial" w:cs="Arial"/>
          <w:i/>
          <w:color w:val="000000" w:themeColor="text1"/>
          <w:lang w:val="de-DE" w:eastAsia="en-US"/>
        </w:rPr>
        <w:t>et al</w:t>
      </w:r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 xml:space="preserve">. </w:t>
      </w:r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Factors in tissue handling and processing that impact RNA obtained from formalin-fixed, paraffin-embedded tissue. </w:t>
      </w:r>
      <w:r w:rsidRPr="006D6392">
        <w:rPr>
          <w:rFonts w:ascii="Arial" w:eastAsiaTheme="minorHAnsi" w:hAnsi="Arial" w:cs="Arial"/>
          <w:color w:val="000000" w:themeColor="text1"/>
          <w:lang w:val="en-US" w:eastAsia="en-US"/>
        </w:rPr>
        <w:t xml:space="preserve">J.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/>
        </w:rPr>
        <w:t>Histochem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/>
        </w:rPr>
        <w:t xml:space="preserve">.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/>
        </w:rPr>
        <w:t>Cytochem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/>
        </w:rPr>
        <w:t>. 2008, 56 pp. 1033–1042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bookmarkStart w:id="20" w:name="_bookmark34"/>
      <w:bookmarkEnd w:id="20"/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Kubista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M.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BjÖrkman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, J.,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Svec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, D.,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SjÖback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, R. RNA quality matters.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European_Pharmaceutical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_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Reviews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Vol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. 17,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Issue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6, 2012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val="en-US" w:eastAsia="en-US"/>
        </w:rPr>
      </w:pPr>
      <w:bookmarkStart w:id="21" w:name="_bookmark35"/>
      <w:bookmarkEnd w:id="21"/>
      <w:proofErr w:type="spellStart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>Kashofer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 xml:space="preserve">, </w:t>
      </w:r>
      <w:proofErr w:type="gramStart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>K.,</w:t>
      </w:r>
      <w:proofErr w:type="gramEnd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>Viertler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 xml:space="preserve">, C., Pichler, M., </w:t>
      </w:r>
      <w:r w:rsidRPr="006D6392">
        <w:rPr>
          <w:rFonts w:ascii="Arial" w:eastAsiaTheme="minorHAnsi" w:hAnsi="Arial" w:cs="Arial"/>
          <w:i/>
          <w:color w:val="000000" w:themeColor="text1"/>
          <w:lang w:val="de-DE" w:eastAsia="en-US"/>
        </w:rPr>
        <w:t>et al</w:t>
      </w:r>
      <w:r w:rsidRPr="006D6392">
        <w:rPr>
          <w:rFonts w:ascii="Arial" w:eastAsiaTheme="minorHAnsi" w:hAnsi="Arial" w:cs="Arial"/>
          <w:color w:val="000000" w:themeColor="text1"/>
          <w:lang w:val="de-DE" w:eastAsia="en-US"/>
        </w:rPr>
        <w:t xml:space="preserve">. </w:t>
      </w:r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Quality control of RNA preservation and extraction from paraffin-embedded tissue: Implications for RT-PCR and microarray analysis.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PLoS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One. 2013 Jul 31</w:t>
      </w:r>
      <w:proofErr w:type="gram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;8</w:t>
      </w:r>
      <w:proofErr w:type="gram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(7):e70714. </w:t>
      </w:r>
      <w:proofErr w:type="spellStart"/>
      <w:proofErr w:type="gram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doi</w:t>
      </w:r>
      <w:proofErr w:type="spellEnd"/>
      <w:proofErr w:type="gram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: 10.1371/journal.pone.0070714. </w:t>
      </w:r>
      <w:r w:rsidRPr="006D6392">
        <w:rPr>
          <w:rFonts w:ascii="Arial" w:eastAsiaTheme="minorHAnsi" w:hAnsi="Arial" w:cs="Arial"/>
          <w:color w:val="000000" w:themeColor="text1"/>
          <w:lang w:val="en-US" w:eastAsia="en-US"/>
        </w:rPr>
        <w:t>Print 2013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bookmarkStart w:id="22" w:name="_bookmark36"/>
      <w:bookmarkEnd w:id="22"/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Björkman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</w:t>
      </w:r>
      <w:proofErr w:type="gram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J.,</w:t>
      </w:r>
      <w:proofErr w:type="gram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&amp;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Svec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D. 2016). </w:t>
      </w:r>
      <w:proofErr w:type="gram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" Differential</w:t>
      </w:r>
      <w:proofErr w:type="gram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amplicons (delta Amp)-a new molecular method to assess RNA integrity."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Biomolecular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Detection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and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Quantification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6: 4-12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bookmarkStart w:id="23" w:name="_bookmark37"/>
      <w:bookmarkEnd w:id="23"/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lastRenderedPageBreak/>
        <w:t>Brisco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M. </w:t>
      </w:r>
      <w:proofErr w:type="gram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J.,</w:t>
      </w:r>
      <w:proofErr w:type="gram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&amp; Morley A. A. 2012). </w:t>
      </w:r>
      <w:proofErr w:type="gram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" Quantification</w:t>
      </w:r>
      <w:proofErr w:type="gram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of RNA integrity and its use for measurement of transcript number."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Nucleic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Acids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Res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40(18): e144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val="en-US" w:eastAsia="en-US"/>
        </w:rPr>
      </w:pPr>
      <w:bookmarkStart w:id="24" w:name="_bookmark38"/>
      <w:bookmarkEnd w:id="24"/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Oivanen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M,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Kuusela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S,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Lonnberg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H Kinetics and </w:t>
      </w:r>
      <w:proofErr w:type="gram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mechanisms  for</w:t>
      </w:r>
      <w:proofErr w:type="gram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 the  cleavage  and isomerization of the phosphodiester bonds of RNA by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Bronsted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acids and bases.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/>
        </w:rPr>
        <w:t>Chem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/>
        </w:rPr>
        <w:t xml:space="preserve"> Rev 1998; 98:961–990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bookmarkStart w:id="25" w:name="_bookmark39"/>
      <w:bookmarkEnd w:id="25"/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AbouHaidar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M. G. and I. G. Ivanov Non-enzymatic RNA hydrolysis promoted by the combined catalytic activity of buffers and magnesium ions. </w:t>
      </w:r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Z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Naturforsch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C. 1999 54 542-8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bookmarkStart w:id="26" w:name="_bookmark40"/>
      <w:bookmarkEnd w:id="26"/>
      <w:proofErr w:type="gram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Fabre  A.L</w:t>
      </w:r>
      <w:proofErr w:type="gram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.,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Colotte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  M., Luis  A.  An efficient method for long-term room temperature storage    of RNA. Eur. J. Hum.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Genet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. 2014, 22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pp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>. 379–385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bookmarkStart w:id="27" w:name="_bookmark41"/>
      <w:bookmarkEnd w:id="27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IUPAC. 2014) Compendium of Chemical Terminology, Gold Book Version 2.3.3. 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International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Union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of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Pure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and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Applied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Chemistry</w:t>
      </w:r>
      <w:proofErr w:type="spellEnd"/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eastAsia="en-US"/>
        </w:rPr>
      </w:pPr>
      <w:bookmarkStart w:id="28" w:name="_bookmark42"/>
      <w:bookmarkEnd w:id="28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Horwitz W. 2009). Nomenclature for sampling in analytical chemistry (Recommendations 1990).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Pure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and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Applied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Chemistry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 xml:space="preserve">, 62(6), </w:t>
      </w:r>
      <w:proofErr w:type="spellStart"/>
      <w:r w:rsidRPr="006D6392">
        <w:rPr>
          <w:rFonts w:ascii="Arial" w:eastAsiaTheme="minorHAnsi" w:hAnsi="Arial" w:cs="Arial"/>
          <w:color w:val="000000" w:themeColor="text1"/>
          <w:lang w:eastAsia="en-US"/>
        </w:rPr>
        <w:t>pp</w:t>
      </w:r>
      <w:proofErr w:type="spellEnd"/>
      <w:r w:rsidRPr="006D6392">
        <w:rPr>
          <w:rFonts w:ascii="Arial" w:eastAsiaTheme="minorHAnsi" w:hAnsi="Arial" w:cs="Arial"/>
          <w:color w:val="000000" w:themeColor="text1"/>
          <w:lang w:eastAsia="en-US"/>
        </w:rPr>
        <w:t>. 1193-1208.</w:t>
      </w:r>
    </w:p>
    <w:p w:rsidR="00802277" w:rsidRPr="006D6392" w:rsidRDefault="00802277" w:rsidP="00802277">
      <w:pPr>
        <w:numPr>
          <w:ilvl w:val="0"/>
          <w:numId w:val="9"/>
        </w:num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color w:val="000000" w:themeColor="text1"/>
          <w:lang w:val="en-US" w:eastAsia="en-US"/>
        </w:rPr>
      </w:pPr>
      <w:bookmarkStart w:id="29" w:name="_bookmark43"/>
      <w:bookmarkEnd w:id="29"/>
      <w:proofErr w:type="gramStart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>Calvert  J</w:t>
      </w:r>
      <w:proofErr w:type="gramEnd"/>
      <w:r w:rsidRPr="006D6392">
        <w:rPr>
          <w:rFonts w:ascii="Arial" w:eastAsiaTheme="minorHAnsi" w:hAnsi="Arial" w:cs="Arial"/>
          <w:color w:val="000000" w:themeColor="text1"/>
          <w:lang w:val="en-US" w:eastAsia="en-US" w:bidi="en-US"/>
        </w:rPr>
        <w:t xml:space="preserve">.  2009).   Glossary of atmospheric chemistry terms (Recommendations 1990). </w:t>
      </w:r>
      <w:r w:rsidRPr="006D6392">
        <w:rPr>
          <w:rFonts w:ascii="Arial" w:eastAsiaTheme="minorHAnsi" w:hAnsi="Arial" w:cs="Arial"/>
          <w:color w:val="000000" w:themeColor="text1"/>
          <w:lang w:val="en-US" w:eastAsia="en-US"/>
        </w:rPr>
        <w:t>Pure and Applied Chemistry, 62(11), pp. 2167-2219.</w:t>
      </w:r>
    </w:p>
    <w:p w:rsidR="00FF250F" w:rsidRPr="006D6392" w:rsidRDefault="00FF250F" w:rsidP="00802277">
      <w:pPr>
        <w:suppressAutoHyphens w:val="0"/>
        <w:spacing w:line="276" w:lineRule="auto"/>
        <w:ind w:left="567" w:hanging="567"/>
        <w:jc w:val="both"/>
        <w:rPr>
          <w:rFonts w:ascii="Arial" w:eastAsiaTheme="minorHAnsi" w:hAnsi="Arial" w:cs="Arial"/>
          <w:bCs/>
          <w:color w:val="000000" w:themeColor="text1"/>
          <w:lang w:eastAsia="en-US"/>
        </w:rPr>
      </w:pPr>
      <w:r w:rsidRPr="006D6392">
        <w:rPr>
          <w:rFonts w:ascii="Arial" w:eastAsiaTheme="minorHAnsi" w:hAnsi="Arial" w:cs="Arial"/>
          <w:bCs/>
          <w:color w:val="000000" w:themeColor="text1"/>
          <w:lang w:eastAsia="en-US"/>
        </w:rPr>
        <w:t>﻿</w:t>
      </w:r>
    </w:p>
    <w:p w:rsidR="005B7049" w:rsidRPr="006D6392" w:rsidRDefault="005B7049" w:rsidP="00802277">
      <w:pPr>
        <w:suppressAutoHyphens w:val="0"/>
        <w:spacing w:line="276" w:lineRule="auto"/>
        <w:jc w:val="both"/>
        <w:rPr>
          <w:rFonts w:ascii="Arial" w:eastAsiaTheme="minorHAnsi" w:hAnsi="Arial" w:cs="Arial"/>
          <w:color w:val="000000" w:themeColor="text1"/>
          <w:lang w:eastAsia="en-US"/>
        </w:rPr>
      </w:pPr>
    </w:p>
    <w:p w:rsidR="005B7049" w:rsidRPr="006D6392" w:rsidRDefault="005B7049" w:rsidP="00802277">
      <w:pPr>
        <w:suppressAutoHyphens w:val="0"/>
        <w:spacing w:line="276" w:lineRule="auto"/>
        <w:jc w:val="both"/>
        <w:rPr>
          <w:rFonts w:ascii="Arial" w:eastAsiaTheme="minorHAnsi" w:hAnsi="Arial" w:cs="Arial"/>
          <w:color w:val="000000" w:themeColor="text1"/>
          <w:lang w:eastAsia="en-US"/>
        </w:rPr>
      </w:pPr>
    </w:p>
    <w:tbl>
      <w:tblPr>
        <w:tblW w:w="9965" w:type="dxa"/>
        <w:tblInd w:w="14" w:type="dxa"/>
        <w:tblBorders>
          <w:top w:val="single" w:sz="8" w:space="0" w:color="00000A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95"/>
        <w:gridCol w:w="2834"/>
        <w:gridCol w:w="2836"/>
      </w:tblGrid>
      <w:tr w:rsidR="00F51A94" w:rsidRPr="006D6392" w:rsidTr="00D67072">
        <w:tc>
          <w:tcPr>
            <w:tcW w:w="4295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6D6392" w:rsidRDefault="00FB7E98">
            <w:pPr>
              <w:pageBreakBefore/>
              <w:jc w:val="both"/>
              <w:rPr>
                <w:rFonts w:ascii="Arial" w:eastAsia="Calibri" w:hAnsi="Arial" w:cs="Arial"/>
                <w:color w:val="000000" w:themeColor="text1"/>
                <w:sz w:val="28"/>
                <w:szCs w:val="28"/>
                <w:lang w:eastAsia="en-US"/>
              </w:rPr>
            </w:pPr>
            <w:r w:rsidRPr="006D6392">
              <w:rPr>
                <w:color w:val="000000" w:themeColor="text1"/>
              </w:rPr>
              <w:lastRenderedPageBreak/>
              <w:br w:type="page"/>
            </w:r>
            <w:r w:rsidRPr="006D6392">
              <w:rPr>
                <w:rFonts w:ascii="Arial" w:eastAsia="Calibri" w:hAnsi="Arial" w:cs="Arial"/>
                <w:color w:val="000000" w:themeColor="text1"/>
                <w:sz w:val="28"/>
                <w:szCs w:val="28"/>
                <w:lang w:eastAsia="en-US"/>
              </w:rPr>
              <w:t>УДК _______</w:t>
            </w:r>
          </w:p>
        </w:tc>
        <w:tc>
          <w:tcPr>
            <w:tcW w:w="2834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6D6392" w:rsidRDefault="00FB7E98" w:rsidP="005B7049">
            <w:pPr>
              <w:jc w:val="both"/>
              <w:rPr>
                <w:color w:val="000000" w:themeColor="text1"/>
              </w:rPr>
            </w:pPr>
            <w:r w:rsidRPr="006D6392">
              <w:rPr>
                <w:rFonts w:ascii="Arial" w:eastAsia="Calibri" w:hAnsi="Arial" w:cs="Arial"/>
                <w:color w:val="000000" w:themeColor="text1"/>
                <w:sz w:val="28"/>
                <w:szCs w:val="28"/>
                <w:lang w:eastAsia="en-US"/>
              </w:rPr>
              <w:t>ОКС 11.040.20</w:t>
            </w:r>
          </w:p>
        </w:tc>
        <w:tc>
          <w:tcPr>
            <w:tcW w:w="2836" w:type="dxa"/>
            <w:tcBorders>
              <w:top w:val="single" w:sz="8" w:space="0" w:color="00000A"/>
              <w:bottom w:val="nil"/>
            </w:tcBorders>
            <w:shd w:val="clear" w:color="auto" w:fill="auto"/>
          </w:tcPr>
          <w:p w:rsidR="00C66504" w:rsidRPr="006D6392" w:rsidRDefault="00FB7E98">
            <w:pPr>
              <w:jc w:val="right"/>
              <w:rPr>
                <w:rFonts w:ascii="Arial" w:eastAsia="Calibri" w:hAnsi="Arial" w:cs="Arial"/>
                <w:color w:val="000000" w:themeColor="text1"/>
                <w:sz w:val="28"/>
                <w:szCs w:val="28"/>
                <w:lang w:eastAsia="en-US"/>
              </w:rPr>
            </w:pPr>
            <w:r w:rsidRPr="006D6392">
              <w:rPr>
                <w:rFonts w:ascii="Arial" w:eastAsia="Calibri" w:hAnsi="Arial" w:cs="Arial"/>
                <w:color w:val="000000" w:themeColor="text1"/>
                <w:sz w:val="28"/>
                <w:szCs w:val="28"/>
                <w:lang w:eastAsia="en-US"/>
              </w:rPr>
              <w:t>IDT</w:t>
            </w:r>
          </w:p>
        </w:tc>
      </w:tr>
      <w:tr w:rsidR="00F51A94" w:rsidRPr="006D6392" w:rsidTr="00D67072">
        <w:trPr>
          <w:trHeight w:val="1092"/>
        </w:trPr>
        <w:tc>
          <w:tcPr>
            <w:tcW w:w="996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:rsidR="00C66504" w:rsidRPr="006D6392" w:rsidRDefault="00C66504">
            <w:pPr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  <w:p w:rsidR="00C66504" w:rsidRPr="006D6392" w:rsidRDefault="00FB7E98" w:rsidP="00D67072">
            <w:pPr>
              <w:spacing w:line="360" w:lineRule="auto"/>
              <w:jc w:val="both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  <w:r w:rsidRPr="006D6392">
              <w:rPr>
                <w:rFonts w:ascii="Arial" w:eastAsia="Calibri" w:hAnsi="Arial" w:cs="Arial"/>
                <w:color w:val="000000" w:themeColor="text1"/>
                <w:lang w:eastAsia="en-US"/>
              </w:rPr>
              <w:t xml:space="preserve">Ключевые слова: </w:t>
            </w:r>
            <w:r w:rsidR="00603998" w:rsidRPr="006D6392">
              <w:rPr>
                <w:rFonts w:ascii="Arial" w:eastAsia="Calibri" w:hAnsi="Arial" w:cs="Arial"/>
                <w:color w:val="000000" w:themeColor="text1"/>
                <w:lang w:val="en-US" w:eastAsia="en-US"/>
              </w:rPr>
              <w:t>in</w:t>
            </w:r>
            <w:r w:rsidR="00603998" w:rsidRPr="006D6392">
              <w:rPr>
                <w:rFonts w:ascii="Arial" w:eastAsia="Calibri" w:hAnsi="Arial" w:cs="Arial"/>
                <w:color w:val="000000" w:themeColor="text1"/>
                <w:lang w:eastAsia="en-US"/>
              </w:rPr>
              <w:t xml:space="preserve"> </w:t>
            </w:r>
            <w:r w:rsidR="00603998" w:rsidRPr="006D6392">
              <w:rPr>
                <w:rFonts w:ascii="Arial" w:eastAsia="Calibri" w:hAnsi="Arial" w:cs="Arial"/>
                <w:color w:val="000000" w:themeColor="text1"/>
                <w:lang w:val="en-US" w:eastAsia="en-US"/>
              </w:rPr>
              <w:t>vitro</w:t>
            </w:r>
            <w:r w:rsidR="00603998" w:rsidRPr="006D6392">
              <w:rPr>
                <w:rFonts w:ascii="Arial" w:eastAsia="Calibri" w:hAnsi="Arial" w:cs="Arial"/>
                <w:color w:val="000000" w:themeColor="text1"/>
                <w:lang w:eastAsia="en-US"/>
              </w:rPr>
              <w:t xml:space="preserve">, РНК, ДНК, </w:t>
            </w:r>
            <w:proofErr w:type="spellStart"/>
            <w:r w:rsidR="00603998" w:rsidRPr="006D6392">
              <w:rPr>
                <w:rFonts w:ascii="Arial" w:eastAsia="Calibri" w:hAnsi="Arial" w:cs="Arial"/>
                <w:color w:val="000000" w:themeColor="text1"/>
                <w:lang w:eastAsia="en-US"/>
              </w:rPr>
              <w:t>аналит</w:t>
            </w:r>
            <w:proofErr w:type="spellEnd"/>
            <w:r w:rsidR="00603998" w:rsidRPr="006D6392">
              <w:rPr>
                <w:rFonts w:ascii="Arial" w:eastAsia="Calibri" w:hAnsi="Arial" w:cs="Arial"/>
                <w:color w:val="000000" w:themeColor="text1"/>
                <w:lang w:eastAsia="en-US"/>
              </w:rPr>
              <w:t xml:space="preserve"> </w:t>
            </w:r>
          </w:p>
          <w:p w:rsidR="00D67072" w:rsidRPr="006D6392" w:rsidRDefault="00D67072" w:rsidP="00D67072">
            <w:pPr>
              <w:spacing w:line="360" w:lineRule="auto"/>
              <w:jc w:val="both"/>
              <w:rPr>
                <w:rFonts w:ascii="Arial" w:eastAsia="Calibri" w:hAnsi="Arial" w:cs="Arial"/>
                <w:color w:val="000000" w:themeColor="text1"/>
                <w:lang w:eastAsia="en-US"/>
              </w:rPr>
            </w:pPr>
          </w:p>
        </w:tc>
      </w:tr>
    </w:tbl>
    <w:p w:rsidR="00D67072" w:rsidRPr="006D6392" w:rsidRDefault="00D67072">
      <w:pPr>
        <w:widowControl w:val="0"/>
        <w:tabs>
          <w:tab w:val="left" w:pos="4111"/>
          <w:tab w:val="left" w:pos="7938"/>
        </w:tabs>
        <w:rPr>
          <w:rFonts w:ascii="Arial" w:hAnsi="Arial" w:cs="Arial"/>
          <w:color w:val="000000" w:themeColor="text1"/>
        </w:rPr>
      </w:pPr>
    </w:p>
    <w:p w:rsidR="00C66504" w:rsidRPr="006D6392" w:rsidRDefault="00FB7E98">
      <w:pPr>
        <w:widowControl w:val="0"/>
        <w:tabs>
          <w:tab w:val="left" w:pos="4111"/>
          <w:tab w:val="left" w:pos="7938"/>
        </w:tabs>
        <w:rPr>
          <w:rFonts w:ascii="Arial" w:hAnsi="Arial" w:cs="Arial"/>
          <w:color w:val="000000" w:themeColor="text1"/>
          <w:lang w:val="en-US"/>
        </w:rPr>
      </w:pPr>
      <w:r w:rsidRPr="006D6392">
        <w:rPr>
          <w:rFonts w:ascii="Arial" w:hAnsi="Arial" w:cs="Arial"/>
          <w:color w:val="000000" w:themeColor="text1"/>
          <w:lang w:val="en-US"/>
        </w:rPr>
        <w:t>Д</w:t>
      </w:r>
      <w:proofErr w:type="spellStart"/>
      <w:r w:rsidRPr="006D6392">
        <w:rPr>
          <w:rFonts w:ascii="Arial" w:hAnsi="Arial" w:cs="Arial"/>
          <w:color w:val="000000" w:themeColor="text1"/>
        </w:rPr>
        <w:t>иректор</w:t>
      </w:r>
      <w:proofErr w:type="spellEnd"/>
      <w:r w:rsidRPr="006D6392">
        <w:rPr>
          <w:rFonts w:ascii="Arial" w:hAnsi="Arial" w:cs="Arial"/>
          <w:color w:val="000000" w:themeColor="text1"/>
        </w:rPr>
        <w:tab/>
        <w:t>__________</w:t>
      </w:r>
      <w:r w:rsidRPr="006D6392">
        <w:rPr>
          <w:rFonts w:ascii="Arial" w:hAnsi="Arial" w:cs="Arial"/>
          <w:color w:val="000000" w:themeColor="text1"/>
        </w:rPr>
        <w:tab/>
      </w:r>
      <w:r w:rsidRPr="006D6392">
        <w:rPr>
          <w:rFonts w:ascii="Arial" w:hAnsi="Arial" w:cs="Arial"/>
          <w:color w:val="000000" w:themeColor="text1"/>
          <w:lang w:val="en-US"/>
        </w:rPr>
        <w:t>___________</w:t>
      </w:r>
    </w:p>
    <w:p w:rsidR="00C66504" w:rsidRPr="006D6392" w:rsidRDefault="00C66504">
      <w:pPr>
        <w:widowControl w:val="0"/>
        <w:tabs>
          <w:tab w:val="left" w:pos="4111"/>
          <w:tab w:val="left" w:pos="7938"/>
        </w:tabs>
        <w:rPr>
          <w:rFonts w:ascii="Arial" w:hAnsi="Arial" w:cs="Arial"/>
          <w:color w:val="000000" w:themeColor="text1"/>
        </w:rPr>
      </w:pPr>
    </w:p>
    <w:p w:rsidR="00C66504" w:rsidRPr="006D6392" w:rsidRDefault="00FB7E98">
      <w:pPr>
        <w:widowControl w:val="0"/>
        <w:tabs>
          <w:tab w:val="left" w:pos="4111"/>
          <w:tab w:val="left" w:pos="7938"/>
        </w:tabs>
        <w:rPr>
          <w:rFonts w:ascii="Arial" w:hAnsi="Arial" w:cs="Arial"/>
          <w:color w:val="000000" w:themeColor="text1"/>
        </w:rPr>
      </w:pPr>
      <w:r w:rsidRPr="006D6392">
        <w:rPr>
          <w:rFonts w:ascii="Arial" w:hAnsi="Arial" w:cs="Arial"/>
          <w:color w:val="000000" w:themeColor="text1"/>
        </w:rPr>
        <w:t>Руководитель разработки</w:t>
      </w:r>
      <w:r w:rsidRPr="006D6392">
        <w:rPr>
          <w:rFonts w:ascii="Arial" w:hAnsi="Arial" w:cs="Arial"/>
          <w:color w:val="000000" w:themeColor="text1"/>
        </w:rPr>
        <w:tab/>
        <w:t>_____________</w:t>
      </w:r>
    </w:p>
    <w:p w:rsidR="00C66504" w:rsidRPr="006D6392" w:rsidRDefault="00FB7E98">
      <w:pPr>
        <w:widowControl w:val="0"/>
        <w:tabs>
          <w:tab w:val="left" w:pos="7938"/>
        </w:tabs>
        <w:rPr>
          <w:rFonts w:ascii="Arial" w:hAnsi="Arial" w:cs="Arial"/>
          <w:color w:val="000000" w:themeColor="text1"/>
          <w:lang w:val="en-US"/>
        </w:rPr>
      </w:pPr>
      <w:r w:rsidRPr="006D6392">
        <w:rPr>
          <w:rFonts w:ascii="Arial" w:hAnsi="Arial" w:cs="Arial"/>
          <w:color w:val="000000" w:themeColor="text1"/>
        </w:rPr>
        <w:tab/>
      </w:r>
      <w:r w:rsidRPr="006D6392">
        <w:rPr>
          <w:rFonts w:ascii="Arial" w:hAnsi="Arial" w:cs="Arial"/>
          <w:color w:val="000000" w:themeColor="text1"/>
          <w:lang w:val="en-US"/>
        </w:rPr>
        <w:t>____________</w:t>
      </w:r>
    </w:p>
    <w:p w:rsidR="00C66504" w:rsidRPr="006D6392" w:rsidRDefault="00C66504">
      <w:pPr>
        <w:widowControl w:val="0"/>
        <w:rPr>
          <w:rFonts w:ascii="Arial" w:hAnsi="Arial" w:cs="Arial"/>
          <w:color w:val="000000" w:themeColor="text1"/>
        </w:rPr>
      </w:pPr>
    </w:p>
    <w:p w:rsidR="00C66504" w:rsidRPr="006D6392" w:rsidRDefault="00C66504">
      <w:pPr>
        <w:widowControl w:val="0"/>
        <w:shd w:val="clear" w:color="auto" w:fill="FFFFFF"/>
        <w:tabs>
          <w:tab w:val="left" w:pos="720"/>
        </w:tabs>
        <w:jc w:val="center"/>
        <w:rPr>
          <w:color w:val="000000" w:themeColor="text1"/>
        </w:rPr>
      </w:pPr>
    </w:p>
    <w:sectPr w:rsidR="00C66504" w:rsidRPr="006D6392" w:rsidSect="00833500">
      <w:headerReference w:type="first" r:id="rId19"/>
      <w:footerReference w:type="first" r:id="rId20"/>
      <w:pgSz w:w="11906" w:h="16838"/>
      <w:pgMar w:top="680" w:right="851" w:bottom="249" w:left="1701" w:header="0" w:footer="540" w:gutter="0"/>
      <w:pgNumType w:start="1"/>
      <w:cols w:space="720"/>
      <w:formProt w:val="0"/>
      <w:titlePg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643" w:rsidRDefault="004D5643">
      <w:r>
        <w:separator/>
      </w:r>
    </w:p>
  </w:endnote>
  <w:endnote w:type="continuationSeparator" w:id="0">
    <w:p w:rsidR="004D5643" w:rsidRDefault="004D5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79328825"/>
      <w:docPartObj>
        <w:docPartGallery w:val="Page Numbers (Bottom of Page)"/>
        <w:docPartUnique/>
      </w:docPartObj>
    </w:sdtPr>
    <w:sdtEndPr/>
    <w:sdtContent>
      <w:p w:rsidR="004D5643" w:rsidRDefault="004D5643">
        <w:pPr>
          <w:pStyle w:val="afa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0619C">
          <w:rPr>
            <w:noProof/>
          </w:rPr>
          <w:t>IV</w:t>
        </w:r>
        <w:r>
          <w:rPr>
            <w:noProof/>
          </w:rPr>
          <w:fldChar w:fldCharType="end"/>
        </w:r>
      </w:p>
    </w:sdtContent>
  </w:sdt>
  <w:p w:rsidR="004D5643" w:rsidRPr="00AE3D7F" w:rsidRDefault="004D5643">
    <w:pPr>
      <w:pStyle w:val="afa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0975591"/>
      <w:docPartObj>
        <w:docPartGallery w:val="Page Numbers (Bottom of Page)"/>
        <w:docPartUnique/>
      </w:docPartObj>
    </w:sdtPr>
    <w:sdtEndPr/>
    <w:sdtContent>
      <w:p w:rsidR="004D5643" w:rsidRDefault="004D5643">
        <w:pPr>
          <w:pStyle w:val="af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0619C">
          <w:rPr>
            <w:noProof/>
          </w:rPr>
          <w:t>V</w:t>
        </w:r>
        <w:r>
          <w:rPr>
            <w:noProof/>
          </w:rPr>
          <w:fldChar w:fldCharType="end"/>
        </w:r>
      </w:p>
    </w:sdtContent>
  </w:sdt>
  <w:p w:rsidR="004D5643" w:rsidRPr="00AE3D7F" w:rsidRDefault="004D5643" w:rsidP="00AE3D7F">
    <w:pPr>
      <w:pStyle w:val="af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79638985"/>
      <w:docPartObj>
        <w:docPartGallery w:val="Page Numbers (Bottom of Page)"/>
        <w:docPartUnique/>
      </w:docPartObj>
    </w:sdtPr>
    <w:sdtEndPr/>
    <w:sdtContent>
      <w:p w:rsidR="004D5643" w:rsidRDefault="004D5643">
        <w:pPr>
          <w:pStyle w:val="afa"/>
          <w:jc w:val="right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C061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D5643" w:rsidRPr="00AE3D7F" w:rsidRDefault="004D5643" w:rsidP="00FF1624">
    <w:pPr>
      <w:pStyle w:val="afa"/>
      <w:ind w:firstLine="70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643" w:rsidRDefault="004D5643">
      <w:r>
        <w:separator/>
      </w:r>
    </w:p>
  </w:footnote>
  <w:footnote w:type="continuationSeparator" w:id="0">
    <w:p w:rsidR="004D5643" w:rsidRDefault="004D56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643" w:rsidRDefault="004D5643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</w:p>
  <w:p w:rsidR="004D5643" w:rsidRPr="00AE3D7F" w:rsidRDefault="004D5643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 w:rsidRPr="00AE3D7F">
      <w:rPr>
        <w:rFonts w:ascii="Arial" w:eastAsia="Calibri" w:hAnsi="Arial" w:cs="Arial"/>
        <w:b/>
        <w:lang w:eastAsia="en-US"/>
      </w:rPr>
      <w:t>ГОСТ Р ИСО</w:t>
    </w:r>
    <w:r>
      <w:rPr>
        <w:rFonts w:ascii="Arial" w:eastAsia="Calibri" w:hAnsi="Arial" w:cs="Arial"/>
        <w:b/>
        <w:lang w:eastAsia="en-US"/>
      </w:rPr>
      <w:t>/ТС</w:t>
    </w:r>
    <w:r w:rsidRPr="00AE3D7F">
      <w:rPr>
        <w:rFonts w:ascii="Arial" w:eastAsia="Calibri" w:hAnsi="Arial" w:cs="Arial"/>
        <w:b/>
        <w:lang w:eastAsia="en-US"/>
      </w:rPr>
      <w:t xml:space="preserve"> </w:t>
    </w:r>
    <w:r>
      <w:rPr>
        <w:rFonts w:ascii="Arial" w:eastAsia="Calibri" w:hAnsi="Arial" w:cs="Arial"/>
        <w:b/>
        <w:lang w:eastAsia="en-US"/>
      </w:rPr>
      <w:t>16782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20ХХ</w:t>
    </w:r>
  </w:p>
  <w:p w:rsidR="004D5643" w:rsidRDefault="004D5643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  <w:p w:rsidR="004D5643" w:rsidRPr="00AE3D7F" w:rsidRDefault="004D5643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643" w:rsidRDefault="004D5643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</w:r>
  </w:p>
  <w:p w:rsidR="004D5643" w:rsidRPr="00AE3D7F" w:rsidRDefault="004D5643" w:rsidP="00C76840">
    <w:pPr>
      <w:tabs>
        <w:tab w:val="center" w:pos="4677"/>
        <w:tab w:val="right" w:pos="9355"/>
      </w:tabs>
      <w:suppressAutoHyphens w:val="0"/>
      <w:jc w:val="right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  <w:t xml:space="preserve">  </w:t>
    </w:r>
    <w:r w:rsidRPr="00AE3D7F">
      <w:rPr>
        <w:rFonts w:ascii="Arial" w:eastAsia="Calibri" w:hAnsi="Arial" w:cs="Arial"/>
        <w:b/>
        <w:lang w:eastAsia="en-US"/>
      </w:rPr>
      <w:t>ГОСТ Р ИСО</w:t>
    </w:r>
    <w:r>
      <w:rPr>
        <w:rFonts w:ascii="Arial" w:eastAsia="Calibri" w:hAnsi="Arial" w:cs="Arial"/>
        <w:b/>
        <w:lang w:eastAsia="en-US"/>
      </w:rPr>
      <w:t>/ТС</w:t>
    </w:r>
    <w:r w:rsidRPr="00AE3D7F">
      <w:rPr>
        <w:rFonts w:ascii="Arial" w:eastAsia="Calibri" w:hAnsi="Arial" w:cs="Arial"/>
        <w:b/>
        <w:lang w:eastAsia="en-US"/>
      </w:rPr>
      <w:t xml:space="preserve"> </w:t>
    </w:r>
    <w:r>
      <w:rPr>
        <w:rFonts w:ascii="Arial" w:eastAsia="Calibri" w:hAnsi="Arial" w:cs="Arial"/>
        <w:b/>
        <w:lang w:eastAsia="en-US"/>
      </w:rPr>
      <w:t>16782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20ХХ</w:t>
    </w:r>
  </w:p>
  <w:p w:rsidR="004D5643" w:rsidRDefault="004D5643" w:rsidP="00C76840">
    <w:pPr>
      <w:tabs>
        <w:tab w:val="center" w:pos="4677"/>
        <w:tab w:val="right" w:pos="9355"/>
      </w:tabs>
      <w:suppressAutoHyphens w:val="0"/>
      <w:jc w:val="right"/>
      <w:rPr>
        <w:rFonts w:ascii="Arial" w:eastAsia="Calibri" w:hAnsi="Arial" w:cs="Arial"/>
        <w:i/>
        <w:szCs w:val="22"/>
        <w:lang w:eastAsia="en-US"/>
      </w:rPr>
    </w:pPr>
    <w:r>
      <w:rPr>
        <w:rFonts w:ascii="Arial" w:eastAsia="Calibri" w:hAnsi="Arial" w:cs="Arial"/>
        <w:i/>
        <w:szCs w:val="22"/>
        <w:lang w:eastAsia="en-US"/>
      </w:rPr>
      <w:tab/>
    </w:r>
    <w:r>
      <w:rPr>
        <w:rFonts w:ascii="Arial" w:eastAsia="Calibri" w:hAnsi="Arial" w:cs="Arial"/>
        <w:i/>
        <w:szCs w:val="22"/>
        <w:lang w:eastAsia="en-US"/>
      </w:rPr>
      <w:tab/>
    </w: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  <w:p w:rsidR="004D5643" w:rsidRPr="00AE3D7F" w:rsidRDefault="004D5643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5643" w:rsidRDefault="004D5643" w:rsidP="00AE3D7F">
    <w:pPr>
      <w:pStyle w:val="af7"/>
    </w:pPr>
  </w:p>
  <w:p w:rsidR="004D5643" w:rsidRPr="00AE3D7F" w:rsidRDefault="004D5643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b/>
        <w:lang w:eastAsia="en-US"/>
      </w:rPr>
    </w:pPr>
    <w:r>
      <w:rPr>
        <w:rFonts w:ascii="Arial" w:eastAsia="Calibri" w:hAnsi="Arial" w:cs="Arial"/>
        <w:b/>
        <w:lang w:eastAsia="en-US"/>
      </w:rPr>
      <w:tab/>
    </w:r>
    <w:r>
      <w:rPr>
        <w:rFonts w:ascii="Arial" w:eastAsia="Calibri" w:hAnsi="Arial" w:cs="Arial"/>
        <w:b/>
        <w:lang w:eastAsia="en-US"/>
      </w:rPr>
      <w:tab/>
    </w:r>
    <w:r w:rsidRPr="00AE3D7F">
      <w:rPr>
        <w:rFonts w:ascii="Arial" w:eastAsia="Calibri" w:hAnsi="Arial" w:cs="Arial"/>
        <w:b/>
        <w:lang w:eastAsia="en-US"/>
      </w:rPr>
      <w:t>ГОСТ Р ИСО</w:t>
    </w:r>
    <w:r>
      <w:rPr>
        <w:rFonts w:ascii="Arial" w:eastAsia="Calibri" w:hAnsi="Arial" w:cs="Arial"/>
        <w:b/>
        <w:lang w:eastAsia="en-US"/>
      </w:rPr>
      <w:t>/ТС 16782</w:t>
    </w:r>
    <w:r w:rsidRPr="00AE3D7F">
      <w:rPr>
        <w:rFonts w:ascii="Arial" w:eastAsia="Calibri" w:hAnsi="Arial" w:cs="Arial"/>
        <w:b/>
        <w:lang w:eastAsia="en-US"/>
      </w:rPr>
      <w:t>–</w:t>
    </w:r>
    <w:r>
      <w:rPr>
        <w:rFonts w:ascii="Arial" w:eastAsia="Calibri" w:hAnsi="Arial" w:cs="Arial"/>
        <w:b/>
        <w:lang w:eastAsia="en-US"/>
      </w:rPr>
      <w:t>ХХХХ</w:t>
    </w:r>
  </w:p>
  <w:p w:rsidR="004D5643" w:rsidRPr="00AE3D7F" w:rsidRDefault="004D5643" w:rsidP="00AE3D7F">
    <w:pPr>
      <w:tabs>
        <w:tab w:val="center" w:pos="4677"/>
        <w:tab w:val="right" w:pos="9355"/>
      </w:tabs>
      <w:suppressAutoHyphens w:val="0"/>
      <w:rPr>
        <w:rFonts w:ascii="Arial" w:eastAsia="Calibri" w:hAnsi="Arial" w:cs="Arial"/>
        <w:i/>
        <w:szCs w:val="22"/>
        <w:lang w:eastAsia="en-US"/>
      </w:rPr>
    </w:pPr>
    <w:r>
      <w:rPr>
        <w:rFonts w:ascii="Arial" w:eastAsia="Calibri" w:hAnsi="Arial" w:cs="Arial"/>
        <w:i/>
        <w:szCs w:val="22"/>
        <w:lang w:eastAsia="en-US"/>
      </w:rPr>
      <w:tab/>
    </w:r>
    <w:r>
      <w:rPr>
        <w:rFonts w:ascii="Arial" w:eastAsia="Calibri" w:hAnsi="Arial" w:cs="Arial"/>
        <w:i/>
        <w:szCs w:val="22"/>
        <w:lang w:eastAsia="en-US"/>
      </w:rPr>
      <w:tab/>
    </w:r>
    <w:r w:rsidRPr="00AE3D7F">
      <w:rPr>
        <w:rFonts w:ascii="Arial" w:eastAsia="Calibri" w:hAnsi="Arial" w:cs="Arial"/>
        <w:i/>
        <w:szCs w:val="22"/>
        <w:lang w:eastAsia="en-US"/>
      </w:rPr>
      <w:t>(проект, первая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5C2FC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2860807"/>
    <w:multiLevelType w:val="hybridMultilevel"/>
    <w:tmpl w:val="A93AAFA8"/>
    <w:lvl w:ilvl="0" w:tplc="74A07FCC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color w:val="231F20"/>
        <w:sz w:val="24"/>
        <w:szCs w:val="24"/>
        <w:lang w:val="ru-RU" w:eastAsia="en-US" w:bidi="en-US"/>
      </w:rPr>
    </w:lvl>
    <w:lvl w:ilvl="1" w:tplc="5CE63DCC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32182E70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E5EC4B36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E746E7EA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7B02976E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05248674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9A88D1F4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34F87812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2">
    <w:nsid w:val="0C054C79"/>
    <w:multiLevelType w:val="multilevel"/>
    <w:tmpl w:val="B0BA3C18"/>
    <w:lvl w:ilvl="0">
      <w:start w:val="4"/>
      <w:numFmt w:val="decimal"/>
      <w:lvlText w:val="%1"/>
      <w:lvlJc w:val="left"/>
      <w:pPr>
        <w:ind w:left="1394" w:hanging="397"/>
      </w:pPr>
      <w:rPr>
        <w:rFonts w:ascii="Cambria" w:eastAsia="Cambria" w:hAnsi="Cambria" w:cs="Cambria" w:hint="default"/>
        <w:b/>
        <w:bCs/>
        <w:color w:val="231F20"/>
        <w:sz w:val="26"/>
        <w:szCs w:val="26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564" w:hanging="567"/>
      </w:pPr>
      <w:rPr>
        <w:rFonts w:ascii="Cambria" w:eastAsia="Cambria" w:hAnsi="Cambria" w:cs="Cambria" w:hint="default"/>
        <w:b/>
        <w:bCs/>
        <w:color w:val="231F20"/>
        <w:sz w:val="24"/>
        <w:szCs w:val="24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762" w:hanging="766"/>
        <w:jc w:val="right"/>
      </w:pPr>
      <w:rPr>
        <w:rFonts w:ascii="Cambria" w:eastAsia="Cambria" w:hAnsi="Cambria" w:cs="Cambria" w:hint="default"/>
        <w:b/>
        <w:bCs/>
        <w:color w:val="231F20"/>
        <w:sz w:val="22"/>
        <w:szCs w:val="22"/>
        <w:lang w:val="en-US" w:eastAsia="en-US" w:bidi="en-US"/>
      </w:rPr>
    </w:lvl>
    <w:lvl w:ilvl="3">
      <w:numFmt w:val="bullet"/>
      <w:lvlText w:val="•"/>
      <w:lvlJc w:val="left"/>
      <w:pPr>
        <w:ind w:left="1760" w:hanging="766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149" w:hanging="766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4538" w:hanging="766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5928" w:hanging="766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317" w:hanging="766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06" w:hanging="766"/>
      </w:pPr>
      <w:rPr>
        <w:rFonts w:hint="default"/>
        <w:lang w:val="en-US" w:eastAsia="en-US" w:bidi="en-US"/>
      </w:rPr>
    </w:lvl>
  </w:abstractNum>
  <w:abstractNum w:abstractNumId="3">
    <w:nsid w:val="15DC4CD1"/>
    <w:multiLevelType w:val="hybridMultilevel"/>
    <w:tmpl w:val="D8FCBD92"/>
    <w:lvl w:ilvl="0" w:tplc="1FD6B9D6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color w:val="231F20"/>
        <w:spacing w:val="-22"/>
        <w:sz w:val="24"/>
        <w:szCs w:val="24"/>
        <w:lang w:val="en-US" w:eastAsia="en-US" w:bidi="en-US"/>
      </w:rPr>
    </w:lvl>
    <w:lvl w:ilvl="1" w:tplc="5698793C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4D68FDEA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C03C357A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00B686EA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36A60130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0CD0DCBA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9014DD58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0B0E69D4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4">
    <w:nsid w:val="19921FBF"/>
    <w:multiLevelType w:val="hybridMultilevel"/>
    <w:tmpl w:val="957E7CF2"/>
    <w:lvl w:ilvl="0" w:tplc="0419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1BEA0ACD"/>
    <w:multiLevelType w:val="multilevel"/>
    <w:tmpl w:val="BAF603F0"/>
    <w:lvl w:ilvl="0">
      <w:start w:val="1"/>
      <w:numFmt w:val="upperLetter"/>
      <w:lvlText w:val="%1"/>
      <w:lvlJc w:val="left"/>
      <w:pPr>
        <w:ind w:left="317" w:hanging="568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317" w:hanging="568"/>
        <w:jc w:val="right"/>
      </w:pPr>
      <w:rPr>
        <w:rFonts w:ascii="Cambria" w:eastAsia="Cambria" w:hAnsi="Cambria" w:cs="Cambria" w:hint="default"/>
        <w:b/>
        <w:bCs/>
        <w:color w:val="231F20"/>
        <w:sz w:val="26"/>
        <w:szCs w:val="26"/>
        <w:lang w:val="en-US" w:eastAsia="en-US" w:bidi="en-US"/>
      </w:rPr>
    </w:lvl>
    <w:lvl w:ilvl="2">
      <w:numFmt w:val="bullet"/>
      <w:lvlText w:val="•"/>
      <w:lvlJc w:val="left"/>
      <w:pPr>
        <w:ind w:left="2553" w:hanging="568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669" w:hanging="56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786" w:hanging="56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902" w:hanging="56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7019" w:hanging="56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8135" w:hanging="56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9252" w:hanging="568"/>
      </w:pPr>
      <w:rPr>
        <w:rFonts w:hint="default"/>
        <w:lang w:val="en-US" w:eastAsia="en-US" w:bidi="en-US"/>
      </w:rPr>
    </w:lvl>
  </w:abstractNum>
  <w:abstractNum w:abstractNumId="6">
    <w:nsid w:val="21171AFE"/>
    <w:multiLevelType w:val="hybridMultilevel"/>
    <w:tmpl w:val="62446244"/>
    <w:lvl w:ilvl="0" w:tplc="58E2430C">
      <w:numFmt w:val="bullet"/>
      <w:lvlText w:val="—"/>
      <w:lvlJc w:val="left"/>
      <w:pPr>
        <w:ind w:left="1199" w:hanging="403"/>
      </w:pPr>
      <w:rPr>
        <w:rFonts w:ascii="Cambria" w:eastAsia="Cambria" w:hAnsi="Cambria" w:cs="Cambria" w:hint="default"/>
        <w:color w:val="231F20"/>
        <w:sz w:val="22"/>
        <w:szCs w:val="22"/>
        <w:lang w:val="en-US" w:eastAsia="en-US" w:bidi="en-US"/>
      </w:rPr>
    </w:lvl>
    <w:lvl w:ilvl="1" w:tplc="806C2868">
      <w:numFmt w:val="bullet"/>
      <w:lvlText w:val="—"/>
      <w:lvlJc w:val="left"/>
      <w:pPr>
        <w:ind w:left="1399" w:hanging="403"/>
      </w:pPr>
      <w:rPr>
        <w:rFonts w:ascii="Cambria" w:eastAsia="Cambria" w:hAnsi="Cambria" w:cs="Cambria" w:hint="default"/>
        <w:color w:val="231F20"/>
        <w:sz w:val="22"/>
        <w:szCs w:val="22"/>
        <w:lang w:val="en-US" w:eastAsia="en-US" w:bidi="en-US"/>
      </w:rPr>
    </w:lvl>
    <w:lvl w:ilvl="2" w:tplc="6C14ACB8">
      <w:numFmt w:val="bullet"/>
      <w:lvlText w:val="•"/>
      <w:lvlJc w:val="left"/>
      <w:pPr>
        <w:ind w:left="2498" w:hanging="403"/>
      </w:pPr>
      <w:rPr>
        <w:rFonts w:hint="default"/>
        <w:lang w:val="en-US" w:eastAsia="en-US" w:bidi="en-US"/>
      </w:rPr>
    </w:lvl>
    <w:lvl w:ilvl="3" w:tplc="AE0ED0E4">
      <w:numFmt w:val="bullet"/>
      <w:lvlText w:val="•"/>
      <w:lvlJc w:val="left"/>
      <w:pPr>
        <w:ind w:left="3596" w:hanging="403"/>
      </w:pPr>
      <w:rPr>
        <w:rFonts w:hint="default"/>
        <w:lang w:val="en-US" w:eastAsia="en-US" w:bidi="en-US"/>
      </w:rPr>
    </w:lvl>
    <w:lvl w:ilvl="4" w:tplc="6D1E8B56">
      <w:numFmt w:val="bullet"/>
      <w:lvlText w:val="•"/>
      <w:lvlJc w:val="left"/>
      <w:pPr>
        <w:ind w:left="4695" w:hanging="403"/>
      </w:pPr>
      <w:rPr>
        <w:rFonts w:hint="default"/>
        <w:lang w:val="en-US" w:eastAsia="en-US" w:bidi="en-US"/>
      </w:rPr>
    </w:lvl>
    <w:lvl w:ilvl="5" w:tplc="D6980BBC">
      <w:numFmt w:val="bullet"/>
      <w:lvlText w:val="•"/>
      <w:lvlJc w:val="left"/>
      <w:pPr>
        <w:ind w:left="5793" w:hanging="403"/>
      </w:pPr>
      <w:rPr>
        <w:rFonts w:hint="default"/>
        <w:lang w:val="en-US" w:eastAsia="en-US" w:bidi="en-US"/>
      </w:rPr>
    </w:lvl>
    <w:lvl w:ilvl="6" w:tplc="A08C95CE">
      <w:numFmt w:val="bullet"/>
      <w:lvlText w:val="•"/>
      <w:lvlJc w:val="left"/>
      <w:pPr>
        <w:ind w:left="6891" w:hanging="403"/>
      </w:pPr>
      <w:rPr>
        <w:rFonts w:hint="default"/>
        <w:lang w:val="en-US" w:eastAsia="en-US" w:bidi="en-US"/>
      </w:rPr>
    </w:lvl>
    <w:lvl w:ilvl="7" w:tplc="9D0A0772">
      <w:numFmt w:val="bullet"/>
      <w:lvlText w:val="•"/>
      <w:lvlJc w:val="left"/>
      <w:pPr>
        <w:ind w:left="7990" w:hanging="403"/>
      </w:pPr>
      <w:rPr>
        <w:rFonts w:hint="default"/>
        <w:lang w:val="en-US" w:eastAsia="en-US" w:bidi="en-US"/>
      </w:rPr>
    </w:lvl>
    <w:lvl w:ilvl="8" w:tplc="EAFEA392">
      <w:numFmt w:val="bullet"/>
      <w:lvlText w:val="•"/>
      <w:lvlJc w:val="left"/>
      <w:pPr>
        <w:ind w:left="9088" w:hanging="403"/>
      </w:pPr>
      <w:rPr>
        <w:rFonts w:hint="default"/>
        <w:lang w:val="en-US" w:eastAsia="en-US" w:bidi="en-US"/>
      </w:rPr>
    </w:lvl>
  </w:abstractNum>
  <w:abstractNum w:abstractNumId="7">
    <w:nsid w:val="2F9529BC"/>
    <w:multiLevelType w:val="hybridMultilevel"/>
    <w:tmpl w:val="B73879C6"/>
    <w:lvl w:ilvl="0" w:tplc="47FAD90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06D11A9"/>
    <w:multiLevelType w:val="hybridMultilevel"/>
    <w:tmpl w:val="3D6CAB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80146"/>
    <w:multiLevelType w:val="hybridMultilevel"/>
    <w:tmpl w:val="F782F682"/>
    <w:lvl w:ilvl="0" w:tplc="69ECEDD8">
      <w:start w:val="1"/>
      <w:numFmt w:val="decimal"/>
      <w:lvlText w:val="%1)"/>
      <w:lvlJc w:val="left"/>
      <w:pPr>
        <w:ind w:left="317" w:hanging="565"/>
      </w:pPr>
      <w:rPr>
        <w:rFonts w:ascii="Cambria" w:eastAsia="Cambria" w:hAnsi="Cambria" w:cs="Cambria" w:hint="default"/>
        <w:color w:val="231F20"/>
        <w:spacing w:val="-28"/>
        <w:sz w:val="20"/>
        <w:szCs w:val="20"/>
        <w:lang w:val="en-US" w:eastAsia="en-US" w:bidi="en-US"/>
      </w:rPr>
    </w:lvl>
    <w:lvl w:ilvl="1" w:tplc="360AAD14">
      <w:start w:val="1"/>
      <w:numFmt w:val="lowerLetter"/>
      <w:lvlText w:val="%2)"/>
      <w:lvlJc w:val="left"/>
      <w:pPr>
        <w:ind w:left="3143" w:hanging="247"/>
        <w:jc w:val="right"/>
      </w:pPr>
      <w:rPr>
        <w:rFonts w:ascii="Cambria" w:eastAsia="Cambria" w:hAnsi="Cambria" w:cs="Cambria" w:hint="default"/>
        <w:b/>
        <w:bCs/>
        <w:color w:val="231F20"/>
        <w:sz w:val="22"/>
        <w:szCs w:val="22"/>
        <w:lang w:val="en-US" w:eastAsia="en-US" w:bidi="en-US"/>
      </w:rPr>
    </w:lvl>
    <w:lvl w:ilvl="2" w:tplc="5E5458C6">
      <w:numFmt w:val="bullet"/>
      <w:lvlText w:val="•"/>
      <w:lvlJc w:val="left"/>
      <w:pPr>
        <w:ind w:left="4067" w:hanging="247"/>
      </w:pPr>
      <w:rPr>
        <w:rFonts w:hint="default"/>
        <w:lang w:val="en-US" w:eastAsia="en-US" w:bidi="en-US"/>
      </w:rPr>
    </w:lvl>
    <w:lvl w:ilvl="3" w:tplc="F7006B90">
      <w:numFmt w:val="bullet"/>
      <w:lvlText w:val="•"/>
      <w:lvlJc w:val="left"/>
      <w:pPr>
        <w:ind w:left="4994" w:hanging="247"/>
      </w:pPr>
      <w:rPr>
        <w:rFonts w:hint="default"/>
        <w:lang w:val="en-US" w:eastAsia="en-US" w:bidi="en-US"/>
      </w:rPr>
    </w:lvl>
    <w:lvl w:ilvl="4" w:tplc="08B8FD16">
      <w:numFmt w:val="bullet"/>
      <w:lvlText w:val="•"/>
      <w:lvlJc w:val="left"/>
      <w:pPr>
        <w:ind w:left="5921" w:hanging="247"/>
      </w:pPr>
      <w:rPr>
        <w:rFonts w:hint="default"/>
        <w:lang w:val="en-US" w:eastAsia="en-US" w:bidi="en-US"/>
      </w:rPr>
    </w:lvl>
    <w:lvl w:ilvl="5" w:tplc="DCDEBD4A">
      <w:numFmt w:val="bullet"/>
      <w:lvlText w:val="•"/>
      <w:lvlJc w:val="left"/>
      <w:pPr>
        <w:ind w:left="6849" w:hanging="247"/>
      </w:pPr>
      <w:rPr>
        <w:rFonts w:hint="default"/>
        <w:lang w:val="en-US" w:eastAsia="en-US" w:bidi="en-US"/>
      </w:rPr>
    </w:lvl>
    <w:lvl w:ilvl="6" w:tplc="2F4264AA">
      <w:numFmt w:val="bullet"/>
      <w:lvlText w:val="•"/>
      <w:lvlJc w:val="left"/>
      <w:pPr>
        <w:ind w:left="7776" w:hanging="247"/>
      </w:pPr>
      <w:rPr>
        <w:rFonts w:hint="default"/>
        <w:lang w:val="en-US" w:eastAsia="en-US" w:bidi="en-US"/>
      </w:rPr>
    </w:lvl>
    <w:lvl w:ilvl="7" w:tplc="445AB9AC">
      <w:numFmt w:val="bullet"/>
      <w:lvlText w:val="•"/>
      <w:lvlJc w:val="left"/>
      <w:pPr>
        <w:ind w:left="8703" w:hanging="247"/>
      </w:pPr>
      <w:rPr>
        <w:rFonts w:hint="default"/>
        <w:lang w:val="en-US" w:eastAsia="en-US" w:bidi="en-US"/>
      </w:rPr>
    </w:lvl>
    <w:lvl w:ilvl="8" w:tplc="8A5A3EDE">
      <w:numFmt w:val="bullet"/>
      <w:lvlText w:val="•"/>
      <w:lvlJc w:val="left"/>
      <w:pPr>
        <w:ind w:left="9630" w:hanging="247"/>
      </w:pPr>
      <w:rPr>
        <w:rFonts w:hint="default"/>
        <w:lang w:val="en-US" w:eastAsia="en-US" w:bidi="en-US"/>
      </w:rPr>
    </w:lvl>
  </w:abstractNum>
  <w:abstractNum w:abstractNumId="10">
    <w:nsid w:val="40622C31"/>
    <w:multiLevelType w:val="multilevel"/>
    <w:tmpl w:val="3A565254"/>
    <w:lvl w:ilvl="0">
      <w:start w:val="1"/>
      <w:numFmt w:val="decimal"/>
      <w:lvlText w:val="%1"/>
      <w:lvlJc w:val="left"/>
      <w:pPr>
        <w:ind w:left="0" w:firstLine="720"/>
      </w:pPr>
    </w:lvl>
    <w:lvl w:ilvl="1">
      <w:start w:val="6"/>
      <w:numFmt w:val="decimal"/>
      <w:lvlText w:val="%1.%2"/>
      <w:lvlJc w:val="left"/>
      <w:pPr>
        <w:ind w:left="1425" w:hanging="705"/>
      </w:pPr>
      <w:rPr>
        <w:b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216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216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52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b/>
      </w:rPr>
    </w:lvl>
  </w:abstractNum>
  <w:abstractNum w:abstractNumId="11">
    <w:nsid w:val="414B2798"/>
    <w:multiLevelType w:val="hybridMultilevel"/>
    <w:tmpl w:val="DEEEE402"/>
    <w:lvl w:ilvl="0" w:tplc="C22A3A28">
      <w:start w:val="1"/>
      <w:numFmt w:val="decimal"/>
      <w:lvlText w:val="[%1]"/>
      <w:lvlJc w:val="left"/>
      <w:pPr>
        <w:ind w:left="997" w:hanging="681"/>
        <w:jc w:val="right"/>
      </w:pPr>
      <w:rPr>
        <w:rFonts w:ascii="Arial" w:eastAsia="Cambria" w:hAnsi="Arial" w:cs="Arial" w:hint="default"/>
        <w:i w:val="0"/>
        <w:color w:val="231F20"/>
        <w:sz w:val="24"/>
        <w:szCs w:val="24"/>
        <w:lang w:val="en-US" w:eastAsia="en-US" w:bidi="en-US"/>
      </w:rPr>
    </w:lvl>
    <w:lvl w:ilvl="1" w:tplc="FB0A6C8C">
      <w:numFmt w:val="bullet"/>
      <w:lvlText w:val="•"/>
      <w:lvlJc w:val="left"/>
      <w:pPr>
        <w:ind w:left="2048" w:hanging="681"/>
      </w:pPr>
      <w:rPr>
        <w:rFonts w:hint="default"/>
        <w:lang w:val="en-US" w:eastAsia="en-US" w:bidi="en-US"/>
      </w:rPr>
    </w:lvl>
    <w:lvl w:ilvl="2" w:tplc="C2967FB8">
      <w:numFmt w:val="bullet"/>
      <w:lvlText w:val="•"/>
      <w:lvlJc w:val="left"/>
      <w:pPr>
        <w:ind w:left="3097" w:hanging="681"/>
      </w:pPr>
      <w:rPr>
        <w:rFonts w:hint="default"/>
        <w:lang w:val="en-US" w:eastAsia="en-US" w:bidi="en-US"/>
      </w:rPr>
    </w:lvl>
    <w:lvl w:ilvl="3" w:tplc="287EC0EC">
      <w:numFmt w:val="bullet"/>
      <w:lvlText w:val="•"/>
      <w:lvlJc w:val="left"/>
      <w:pPr>
        <w:ind w:left="4145" w:hanging="681"/>
      </w:pPr>
      <w:rPr>
        <w:rFonts w:hint="default"/>
        <w:lang w:val="en-US" w:eastAsia="en-US" w:bidi="en-US"/>
      </w:rPr>
    </w:lvl>
    <w:lvl w:ilvl="4" w:tplc="AC7EE322">
      <w:numFmt w:val="bullet"/>
      <w:lvlText w:val="•"/>
      <w:lvlJc w:val="left"/>
      <w:pPr>
        <w:ind w:left="5194" w:hanging="681"/>
      </w:pPr>
      <w:rPr>
        <w:rFonts w:hint="default"/>
        <w:lang w:val="en-US" w:eastAsia="en-US" w:bidi="en-US"/>
      </w:rPr>
    </w:lvl>
    <w:lvl w:ilvl="5" w:tplc="4A8E87AA">
      <w:numFmt w:val="bullet"/>
      <w:lvlText w:val="•"/>
      <w:lvlJc w:val="left"/>
      <w:pPr>
        <w:ind w:left="6242" w:hanging="681"/>
      </w:pPr>
      <w:rPr>
        <w:rFonts w:hint="default"/>
        <w:lang w:val="en-US" w:eastAsia="en-US" w:bidi="en-US"/>
      </w:rPr>
    </w:lvl>
    <w:lvl w:ilvl="6" w:tplc="15827172">
      <w:numFmt w:val="bullet"/>
      <w:lvlText w:val="•"/>
      <w:lvlJc w:val="left"/>
      <w:pPr>
        <w:ind w:left="7291" w:hanging="681"/>
      </w:pPr>
      <w:rPr>
        <w:rFonts w:hint="default"/>
        <w:lang w:val="en-US" w:eastAsia="en-US" w:bidi="en-US"/>
      </w:rPr>
    </w:lvl>
    <w:lvl w:ilvl="7" w:tplc="83CA858E">
      <w:numFmt w:val="bullet"/>
      <w:lvlText w:val="•"/>
      <w:lvlJc w:val="left"/>
      <w:pPr>
        <w:ind w:left="8339" w:hanging="681"/>
      </w:pPr>
      <w:rPr>
        <w:rFonts w:hint="default"/>
        <w:lang w:val="en-US" w:eastAsia="en-US" w:bidi="en-US"/>
      </w:rPr>
    </w:lvl>
    <w:lvl w:ilvl="8" w:tplc="10C22746">
      <w:numFmt w:val="bullet"/>
      <w:lvlText w:val="•"/>
      <w:lvlJc w:val="left"/>
      <w:pPr>
        <w:ind w:left="9388" w:hanging="681"/>
      </w:pPr>
      <w:rPr>
        <w:rFonts w:hint="default"/>
        <w:lang w:val="en-US" w:eastAsia="en-US" w:bidi="en-US"/>
      </w:rPr>
    </w:lvl>
  </w:abstractNum>
  <w:abstractNum w:abstractNumId="12">
    <w:nsid w:val="62510A2C"/>
    <w:multiLevelType w:val="hybridMultilevel"/>
    <w:tmpl w:val="DB0AB00A"/>
    <w:lvl w:ilvl="0" w:tplc="98D8FDD0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color w:val="231F2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F50BCE"/>
    <w:multiLevelType w:val="hybridMultilevel"/>
    <w:tmpl w:val="3C0E5AAC"/>
    <w:lvl w:ilvl="0" w:tplc="03E02BAC">
      <w:start w:val="1"/>
      <w:numFmt w:val="lowerLetter"/>
      <w:lvlText w:val="%1)"/>
      <w:lvlJc w:val="left"/>
      <w:pPr>
        <w:ind w:left="719" w:hanging="403"/>
      </w:pPr>
      <w:rPr>
        <w:rFonts w:ascii="Arial" w:eastAsia="Cambria" w:hAnsi="Arial" w:cs="Arial" w:hint="default"/>
        <w:color w:val="231F20"/>
        <w:sz w:val="24"/>
        <w:szCs w:val="24"/>
        <w:lang w:val="en-US" w:eastAsia="en-US" w:bidi="en-US"/>
      </w:rPr>
    </w:lvl>
    <w:lvl w:ilvl="1" w:tplc="66FC53EE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52609A0C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5D64452E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776E14A6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7C0EA6F2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3516F774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E8025C40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77C645DA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14">
    <w:nsid w:val="69FD6EFC"/>
    <w:multiLevelType w:val="hybridMultilevel"/>
    <w:tmpl w:val="385EC53A"/>
    <w:lvl w:ilvl="0" w:tplc="B4187326">
      <w:start w:val="1"/>
      <w:numFmt w:val="lowerLetter"/>
      <w:lvlText w:val="%1)"/>
      <w:lvlJc w:val="left"/>
      <w:pPr>
        <w:ind w:left="719" w:hanging="403"/>
        <w:jc w:val="right"/>
      </w:pPr>
      <w:rPr>
        <w:rFonts w:ascii="Cambria" w:eastAsia="Cambria" w:hAnsi="Cambria" w:cs="Cambria" w:hint="default"/>
        <w:color w:val="231F20"/>
        <w:sz w:val="22"/>
        <w:szCs w:val="22"/>
        <w:lang w:val="en-US" w:eastAsia="en-US" w:bidi="en-US"/>
      </w:rPr>
    </w:lvl>
    <w:lvl w:ilvl="1" w:tplc="1AD02748">
      <w:numFmt w:val="bullet"/>
      <w:lvlText w:val="•"/>
      <w:lvlJc w:val="left"/>
      <w:pPr>
        <w:ind w:left="1796" w:hanging="403"/>
      </w:pPr>
      <w:rPr>
        <w:rFonts w:hint="default"/>
        <w:lang w:val="en-US" w:eastAsia="en-US" w:bidi="en-US"/>
      </w:rPr>
    </w:lvl>
    <w:lvl w:ilvl="2" w:tplc="5DDADBEA">
      <w:numFmt w:val="bullet"/>
      <w:lvlText w:val="•"/>
      <w:lvlJc w:val="left"/>
      <w:pPr>
        <w:ind w:left="2873" w:hanging="403"/>
      </w:pPr>
      <w:rPr>
        <w:rFonts w:hint="default"/>
        <w:lang w:val="en-US" w:eastAsia="en-US" w:bidi="en-US"/>
      </w:rPr>
    </w:lvl>
    <w:lvl w:ilvl="3" w:tplc="28A8FB36">
      <w:numFmt w:val="bullet"/>
      <w:lvlText w:val="•"/>
      <w:lvlJc w:val="left"/>
      <w:pPr>
        <w:ind w:left="3949" w:hanging="403"/>
      </w:pPr>
      <w:rPr>
        <w:rFonts w:hint="default"/>
        <w:lang w:val="en-US" w:eastAsia="en-US" w:bidi="en-US"/>
      </w:rPr>
    </w:lvl>
    <w:lvl w:ilvl="4" w:tplc="DD5815EE">
      <w:numFmt w:val="bullet"/>
      <w:lvlText w:val="•"/>
      <w:lvlJc w:val="left"/>
      <w:pPr>
        <w:ind w:left="5026" w:hanging="403"/>
      </w:pPr>
      <w:rPr>
        <w:rFonts w:hint="default"/>
        <w:lang w:val="en-US" w:eastAsia="en-US" w:bidi="en-US"/>
      </w:rPr>
    </w:lvl>
    <w:lvl w:ilvl="5" w:tplc="C00AD5E0">
      <w:numFmt w:val="bullet"/>
      <w:lvlText w:val="•"/>
      <w:lvlJc w:val="left"/>
      <w:pPr>
        <w:ind w:left="6102" w:hanging="403"/>
      </w:pPr>
      <w:rPr>
        <w:rFonts w:hint="default"/>
        <w:lang w:val="en-US" w:eastAsia="en-US" w:bidi="en-US"/>
      </w:rPr>
    </w:lvl>
    <w:lvl w:ilvl="6" w:tplc="A83EE9B0">
      <w:numFmt w:val="bullet"/>
      <w:lvlText w:val="•"/>
      <w:lvlJc w:val="left"/>
      <w:pPr>
        <w:ind w:left="7179" w:hanging="403"/>
      </w:pPr>
      <w:rPr>
        <w:rFonts w:hint="default"/>
        <w:lang w:val="en-US" w:eastAsia="en-US" w:bidi="en-US"/>
      </w:rPr>
    </w:lvl>
    <w:lvl w:ilvl="7" w:tplc="9B1AB25A">
      <w:numFmt w:val="bullet"/>
      <w:lvlText w:val="•"/>
      <w:lvlJc w:val="left"/>
      <w:pPr>
        <w:ind w:left="8255" w:hanging="403"/>
      </w:pPr>
      <w:rPr>
        <w:rFonts w:hint="default"/>
        <w:lang w:val="en-US" w:eastAsia="en-US" w:bidi="en-US"/>
      </w:rPr>
    </w:lvl>
    <w:lvl w:ilvl="8" w:tplc="AC20DA30">
      <w:numFmt w:val="bullet"/>
      <w:lvlText w:val="•"/>
      <w:lvlJc w:val="left"/>
      <w:pPr>
        <w:ind w:left="9332" w:hanging="403"/>
      </w:pPr>
      <w:rPr>
        <w:rFonts w:hint="default"/>
        <w:lang w:val="en-US" w:eastAsia="en-US" w:bidi="en-US"/>
      </w:rPr>
    </w:lvl>
  </w:abstractNum>
  <w:abstractNum w:abstractNumId="15">
    <w:nsid w:val="741A49A6"/>
    <w:multiLevelType w:val="hybridMultilevel"/>
    <w:tmpl w:val="F3BADD42"/>
    <w:lvl w:ilvl="0" w:tplc="041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5DC3E6D"/>
    <w:multiLevelType w:val="multilevel"/>
    <w:tmpl w:val="21EA5276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7F2D2E41"/>
    <w:multiLevelType w:val="hybridMultilevel"/>
    <w:tmpl w:val="6B423138"/>
    <w:lvl w:ilvl="0" w:tplc="A48E66E6">
      <w:start w:val="1"/>
      <w:numFmt w:val="lowerLetter"/>
      <w:lvlText w:val="%1)"/>
      <w:lvlJc w:val="left"/>
      <w:pPr>
        <w:ind w:left="2462" w:hanging="247"/>
        <w:jc w:val="right"/>
      </w:pPr>
      <w:rPr>
        <w:rFonts w:ascii="Cambria" w:eastAsia="Cambria" w:hAnsi="Cambria" w:cs="Cambria" w:hint="default"/>
        <w:b/>
        <w:bCs/>
        <w:color w:val="231F20"/>
        <w:sz w:val="22"/>
        <w:szCs w:val="22"/>
        <w:lang w:val="en-US" w:eastAsia="en-US" w:bidi="en-US"/>
      </w:rPr>
    </w:lvl>
    <w:lvl w:ilvl="1" w:tplc="055A8F3C">
      <w:numFmt w:val="bullet"/>
      <w:lvlText w:val="•"/>
      <w:lvlJc w:val="left"/>
      <w:pPr>
        <w:ind w:left="3362" w:hanging="247"/>
      </w:pPr>
      <w:rPr>
        <w:rFonts w:hint="default"/>
        <w:lang w:val="en-US" w:eastAsia="en-US" w:bidi="en-US"/>
      </w:rPr>
    </w:lvl>
    <w:lvl w:ilvl="2" w:tplc="63A2AE98">
      <w:numFmt w:val="bullet"/>
      <w:lvlText w:val="•"/>
      <w:lvlJc w:val="left"/>
      <w:pPr>
        <w:ind w:left="4265" w:hanging="247"/>
      </w:pPr>
      <w:rPr>
        <w:rFonts w:hint="default"/>
        <w:lang w:val="en-US" w:eastAsia="en-US" w:bidi="en-US"/>
      </w:rPr>
    </w:lvl>
    <w:lvl w:ilvl="3" w:tplc="7FB85176">
      <w:numFmt w:val="bullet"/>
      <w:lvlText w:val="•"/>
      <w:lvlJc w:val="left"/>
      <w:pPr>
        <w:ind w:left="5167" w:hanging="247"/>
      </w:pPr>
      <w:rPr>
        <w:rFonts w:hint="default"/>
        <w:lang w:val="en-US" w:eastAsia="en-US" w:bidi="en-US"/>
      </w:rPr>
    </w:lvl>
    <w:lvl w:ilvl="4" w:tplc="ADB6C5AC">
      <w:numFmt w:val="bullet"/>
      <w:lvlText w:val="•"/>
      <w:lvlJc w:val="left"/>
      <w:pPr>
        <w:ind w:left="6070" w:hanging="247"/>
      </w:pPr>
      <w:rPr>
        <w:rFonts w:hint="default"/>
        <w:lang w:val="en-US" w:eastAsia="en-US" w:bidi="en-US"/>
      </w:rPr>
    </w:lvl>
    <w:lvl w:ilvl="5" w:tplc="CE6A5C26">
      <w:numFmt w:val="bullet"/>
      <w:lvlText w:val="•"/>
      <w:lvlJc w:val="left"/>
      <w:pPr>
        <w:ind w:left="6972" w:hanging="247"/>
      </w:pPr>
      <w:rPr>
        <w:rFonts w:hint="default"/>
        <w:lang w:val="en-US" w:eastAsia="en-US" w:bidi="en-US"/>
      </w:rPr>
    </w:lvl>
    <w:lvl w:ilvl="6" w:tplc="8AB846F6">
      <w:numFmt w:val="bullet"/>
      <w:lvlText w:val="•"/>
      <w:lvlJc w:val="left"/>
      <w:pPr>
        <w:ind w:left="7875" w:hanging="247"/>
      </w:pPr>
      <w:rPr>
        <w:rFonts w:hint="default"/>
        <w:lang w:val="en-US" w:eastAsia="en-US" w:bidi="en-US"/>
      </w:rPr>
    </w:lvl>
    <w:lvl w:ilvl="7" w:tplc="AE522F2E">
      <w:numFmt w:val="bullet"/>
      <w:lvlText w:val="•"/>
      <w:lvlJc w:val="left"/>
      <w:pPr>
        <w:ind w:left="8777" w:hanging="247"/>
      </w:pPr>
      <w:rPr>
        <w:rFonts w:hint="default"/>
        <w:lang w:val="en-US" w:eastAsia="en-US" w:bidi="en-US"/>
      </w:rPr>
    </w:lvl>
    <w:lvl w:ilvl="8" w:tplc="466278BE">
      <w:numFmt w:val="bullet"/>
      <w:lvlText w:val="•"/>
      <w:lvlJc w:val="left"/>
      <w:pPr>
        <w:ind w:left="9680" w:hanging="247"/>
      </w:pPr>
      <w:rPr>
        <w:rFonts w:hint="default"/>
        <w:lang w:val="en-US" w:eastAsia="en-US" w:bidi="en-US"/>
      </w:rPr>
    </w:lvl>
  </w:abstractNum>
  <w:num w:numId="1">
    <w:abstractNumId w:val="10"/>
  </w:num>
  <w:num w:numId="2">
    <w:abstractNumId w:val="16"/>
  </w:num>
  <w:num w:numId="3">
    <w:abstractNumId w:val="0"/>
  </w:num>
  <w:num w:numId="4">
    <w:abstractNumId w:val="6"/>
  </w:num>
  <w:num w:numId="5">
    <w:abstractNumId w:val="2"/>
  </w:num>
  <w:num w:numId="6">
    <w:abstractNumId w:val="14"/>
  </w:num>
  <w:num w:numId="7">
    <w:abstractNumId w:val="1"/>
  </w:num>
  <w:num w:numId="8">
    <w:abstractNumId w:val="13"/>
  </w:num>
  <w:num w:numId="9">
    <w:abstractNumId w:val="11"/>
  </w:num>
  <w:num w:numId="10">
    <w:abstractNumId w:val="3"/>
  </w:num>
  <w:num w:numId="11">
    <w:abstractNumId w:val="4"/>
  </w:num>
  <w:num w:numId="12">
    <w:abstractNumId w:val="8"/>
  </w:num>
  <w:num w:numId="13">
    <w:abstractNumId w:val="9"/>
  </w:num>
  <w:num w:numId="14">
    <w:abstractNumId w:val="5"/>
  </w:num>
  <w:num w:numId="15">
    <w:abstractNumId w:val="17"/>
  </w:num>
  <w:num w:numId="16">
    <w:abstractNumId w:val="15"/>
  </w:num>
  <w:num w:numId="17">
    <w:abstractNumId w:val="7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6504"/>
    <w:rsid w:val="00063991"/>
    <w:rsid w:val="000972AB"/>
    <w:rsid w:val="000C0188"/>
    <w:rsid w:val="00102B9A"/>
    <w:rsid w:val="00120176"/>
    <w:rsid w:val="00173449"/>
    <w:rsid w:val="00187439"/>
    <w:rsid w:val="001929E5"/>
    <w:rsid w:val="001C6882"/>
    <w:rsid w:val="00212535"/>
    <w:rsid w:val="00234392"/>
    <w:rsid w:val="002510CF"/>
    <w:rsid w:val="002C5A5E"/>
    <w:rsid w:val="002E1FFA"/>
    <w:rsid w:val="002F10EC"/>
    <w:rsid w:val="003019DB"/>
    <w:rsid w:val="00351525"/>
    <w:rsid w:val="0039311F"/>
    <w:rsid w:val="003B5970"/>
    <w:rsid w:val="003D445A"/>
    <w:rsid w:val="003E7418"/>
    <w:rsid w:val="004131A5"/>
    <w:rsid w:val="0042603C"/>
    <w:rsid w:val="004327EA"/>
    <w:rsid w:val="004A43A4"/>
    <w:rsid w:val="004D5643"/>
    <w:rsid w:val="004E32DD"/>
    <w:rsid w:val="00510B5D"/>
    <w:rsid w:val="00541A65"/>
    <w:rsid w:val="0054499E"/>
    <w:rsid w:val="00554DA3"/>
    <w:rsid w:val="00565061"/>
    <w:rsid w:val="005777A8"/>
    <w:rsid w:val="005B7049"/>
    <w:rsid w:val="005F7F84"/>
    <w:rsid w:val="00603998"/>
    <w:rsid w:val="006240B3"/>
    <w:rsid w:val="00670155"/>
    <w:rsid w:val="00692253"/>
    <w:rsid w:val="00694209"/>
    <w:rsid w:val="006C5908"/>
    <w:rsid w:val="006C5C45"/>
    <w:rsid w:val="006D6392"/>
    <w:rsid w:val="006E450C"/>
    <w:rsid w:val="006F746A"/>
    <w:rsid w:val="00701A9F"/>
    <w:rsid w:val="00726D0F"/>
    <w:rsid w:val="00734769"/>
    <w:rsid w:val="007419BC"/>
    <w:rsid w:val="00785AA0"/>
    <w:rsid w:val="007A6C4D"/>
    <w:rsid w:val="007E2DBA"/>
    <w:rsid w:val="00802277"/>
    <w:rsid w:val="00833500"/>
    <w:rsid w:val="00882758"/>
    <w:rsid w:val="008C2819"/>
    <w:rsid w:val="008E001C"/>
    <w:rsid w:val="00917DBB"/>
    <w:rsid w:val="009217BF"/>
    <w:rsid w:val="00922584"/>
    <w:rsid w:val="00942CB2"/>
    <w:rsid w:val="0094759E"/>
    <w:rsid w:val="009624F5"/>
    <w:rsid w:val="009B0458"/>
    <w:rsid w:val="009C2089"/>
    <w:rsid w:val="009D0B3C"/>
    <w:rsid w:val="009D381F"/>
    <w:rsid w:val="009F2A78"/>
    <w:rsid w:val="00A44791"/>
    <w:rsid w:val="00A77ABF"/>
    <w:rsid w:val="00A82265"/>
    <w:rsid w:val="00AB4288"/>
    <w:rsid w:val="00AB529B"/>
    <w:rsid w:val="00AC4777"/>
    <w:rsid w:val="00AE39FF"/>
    <w:rsid w:val="00AE3D7F"/>
    <w:rsid w:val="00AE6AF7"/>
    <w:rsid w:val="00B02925"/>
    <w:rsid w:val="00B20644"/>
    <w:rsid w:val="00B3330E"/>
    <w:rsid w:val="00B63FEA"/>
    <w:rsid w:val="00B8049B"/>
    <w:rsid w:val="00B9408A"/>
    <w:rsid w:val="00B96FDF"/>
    <w:rsid w:val="00BA4953"/>
    <w:rsid w:val="00BB3B2D"/>
    <w:rsid w:val="00BF6134"/>
    <w:rsid w:val="00BF68B7"/>
    <w:rsid w:val="00C04E3F"/>
    <w:rsid w:val="00C0619C"/>
    <w:rsid w:val="00C35264"/>
    <w:rsid w:val="00C42ECA"/>
    <w:rsid w:val="00C66504"/>
    <w:rsid w:val="00C700DA"/>
    <w:rsid w:val="00C70B0F"/>
    <w:rsid w:val="00C72891"/>
    <w:rsid w:val="00C76840"/>
    <w:rsid w:val="00C8469D"/>
    <w:rsid w:val="00C8471F"/>
    <w:rsid w:val="00C947BB"/>
    <w:rsid w:val="00CA5542"/>
    <w:rsid w:val="00CE0B31"/>
    <w:rsid w:val="00D15971"/>
    <w:rsid w:val="00D311F0"/>
    <w:rsid w:val="00D36E2D"/>
    <w:rsid w:val="00D437D0"/>
    <w:rsid w:val="00D524EF"/>
    <w:rsid w:val="00D67072"/>
    <w:rsid w:val="00E0374C"/>
    <w:rsid w:val="00E0782A"/>
    <w:rsid w:val="00E20E51"/>
    <w:rsid w:val="00E509A5"/>
    <w:rsid w:val="00EF2DC5"/>
    <w:rsid w:val="00F01E67"/>
    <w:rsid w:val="00F07E72"/>
    <w:rsid w:val="00F41A79"/>
    <w:rsid w:val="00F51A94"/>
    <w:rsid w:val="00F86676"/>
    <w:rsid w:val="00FB7E98"/>
    <w:rsid w:val="00FC48FA"/>
    <w:rsid w:val="00FF1624"/>
    <w:rsid w:val="00FF2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iPriority="9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676"/>
    <w:pPr>
      <w:suppressAutoHyphens/>
    </w:pPr>
    <w:rPr>
      <w:sz w:val="24"/>
      <w:szCs w:val="24"/>
    </w:rPr>
  </w:style>
  <w:style w:type="paragraph" w:styleId="1">
    <w:name w:val="heading 1"/>
    <w:basedOn w:val="a"/>
    <w:link w:val="10"/>
    <w:qFormat/>
    <w:rsid w:val="00917CE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701A9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97631A"/>
    <w:pPr>
      <w:spacing w:beforeAutospacing="1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701A9F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semiHidden/>
    <w:unhideWhenUsed/>
    <w:qFormat/>
    <w:rsid w:val="0080227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semiHidden/>
    <w:unhideWhenUsed/>
    <w:qFormat/>
    <w:rsid w:val="000C018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qFormat/>
    <w:rsid w:val="00BD768A"/>
    <w:rPr>
      <w:vertAlign w:val="superscript"/>
    </w:rPr>
  </w:style>
  <w:style w:type="character" w:customStyle="1" w:styleId="a4">
    <w:name w:val="Верхний колонтитул Знак"/>
    <w:qFormat/>
    <w:rsid w:val="000902D7"/>
    <w:rPr>
      <w:rFonts w:ascii="Arial" w:hAnsi="Arial" w:cs="Arial"/>
      <w:lang w:eastAsia="en-US"/>
    </w:rPr>
  </w:style>
  <w:style w:type="character" w:customStyle="1" w:styleId="a5">
    <w:name w:val="Текст Знак"/>
    <w:qFormat/>
    <w:rsid w:val="000902D7"/>
    <w:rPr>
      <w:rFonts w:ascii="Courier New" w:hAnsi="Courier New"/>
      <w:lang w:eastAsia="ja-JP"/>
    </w:rPr>
  </w:style>
  <w:style w:type="character" w:customStyle="1" w:styleId="a6">
    <w:name w:val="Основной текст Знак"/>
    <w:qFormat/>
    <w:rsid w:val="000902D7"/>
    <w:rPr>
      <w:rFonts w:ascii="Arial" w:hAnsi="Arial"/>
      <w:b/>
      <w:sz w:val="36"/>
      <w:lang w:eastAsia="ja-JP"/>
    </w:rPr>
  </w:style>
  <w:style w:type="character" w:customStyle="1" w:styleId="a7">
    <w:name w:val="Нижний колонтитул Знак"/>
    <w:uiPriority w:val="99"/>
    <w:qFormat/>
    <w:rsid w:val="00922759"/>
    <w:rPr>
      <w:sz w:val="24"/>
      <w:szCs w:val="24"/>
    </w:rPr>
  </w:style>
  <w:style w:type="character" w:customStyle="1" w:styleId="shorttext">
    <w:name w:val="short_text"/>
    <w:basedOn w:val="a0"/>
    <w:qFormat/>
    <w:rsid w:val="002C516E"/>
  </w:style>
  <w:style w:type="character" w:customStyle="1" w:styleId="hps">
    <w:name w:val="hps"/>
    <w:basedOn w:val="a0"/>
    <w:qFormat/>
    <w:rsid w:val="002C516E"/>
  </w:style>
  <w:style w:type="character" w:customStyle="1" w:styleId="-">
    <w:name w:val="Интернет-ссылка"/>
    <w:uiPriority w:val="99"/>
    <w:unhideWhenUsed/>
    <w:rsid w:val="001957D2"/>
    <w:rPr>
      <w:color w:val="0000FF"/>
      <w:u w:val="single"/>
    </w:rPr>
  </w:style>
  <w:style w:type="character" w:customStyle="1" w:styleId="a8">
    <w:name w:val="гост_набор Знак"/>
    <w:qFormat/>
    <w:locked/>
    <w:rsid w:val="001957D2"/>
    <w:rPr>
      <w:rFonts w:ascii="Arial" w:hAnsi="Arial" w:cs="Arial"/>
      <w:sz w:val="24"/>
    </w:rPr>
  </w:style>
  <w:style w:type="character" w:customStyle="1" w:styleId="a9">
    <w:name w:val="Текст выноски Знак"/>
    <w:uiPriority w:val="99"/>
    <w:qFormat/>
    <w:rsid w:val="00856E87"/>
    <w:rPr>
      <w:rFonts w:ascii="Tahoma" w:hAnsi="Tahoma" w:cs="Tahoma"/>
      <w:sz w:val="16"/>
      <w:szCs w:val="16"/>
    </w:rPr>
  </w:style>
  <w:style w:type="character" w:customStyle="1" w:styleId="w">
    <w:name w:val="w"/>
    <w:qFormat/>
    <w:rsid w:val="006D485A"/>
  </w:style>
  <w:style w:type="character" w:customStyle="1" w:styleId="30">
    <w:name w:val="Заголовок 3 Знак"/>
    <w:link w:val="3"/>
    <w:uiPriority w:val="9"/>
    <w:qFormat/>
    <w:rsid w:val="0097631A"/>
    <w:rPr>
      <w:b/>
      <w:bCs/>
      <w:sz w:val="27"/>
      <w:szCs w:val="27"/>
    </w:rPr>
  </w:style>
  <w:style w:type="character" w:customStyle="1" w:styleId="tagtrans">
    <w:name w:val="tag_trans"/>
    <w:qFormat/>
    <w:rsid w:val="0097631A"/>
  </w:style>
  <w:style w:type="character" w:customStyle="1" w:styleId="extended-textfull">
    <w:name w:val="extended-text__full"/>
    <w:qFormat/>
    <w:rsid w:val="00666C29"/>
  </w:style>
  <w:style w:type="character" w:styleId="aa">
    <w:name w:val="Emphasis"/>
    <w:uiPriority w:val="20"/>
    <w:qFormat/>
    <w:rsid w:val="00216C57"/>
    <w:rPr>
      <w:i/>
      <w:iCs/>
    </w:rPr>
  </w:style>
  <w:style w:type="character" w:styleId="ab">
    <w:name w:val="Strong"/>
    <w:uiPriority w:val="22"/>
    <w:qFormat/>
    <w:rsid w:val="00216C57"/>
    <w:rPr>
      <w:b/>
      <w:bCs/>
    </w:rPr>
  </w:style>
  <w:style w:type="character" w:customStyle="1" w:styleId="definition">
    <w:name w:val="definition"/>
    <w:qFormat/>
    <w:rsid w:val="00B12237"/>
  </w:style>
  <w:style w:type="character" w:styleId="ac">
    <w:name w:val="FollowedHyperlink"/>
    <w:qFormat/>
    <w:rsid w:val="00432D91"/>
    <w:rPr>
      <w:color w:val="800080"/>
      <w:u w:val="single"/>
    </w:rPr>
  </w:style>
  <w:style w:type="character" w:customStyle="1" w:styleId="ad">
    <w:name w:val="Текст концевой сноски Знак"/>
    <w:basedOn w:val="a0"/>
    <w:qFormat/>
    <w:rsid w:val="002B1917"/>
  </w:style>
  <w:style w:type="character" w:styleId="ae">
    <w:name w:val="endnote reference"/>
    <w:qFormat/>
    <w:rsid w:val="002B1917"/>
    <w:rPr>
      <w:vertAlign w:val="superscript"/>
    </w:rPr>
  </w:style>
  <w:style w:type="character" w:styleId="af">
    <w:name w:val="Placeholder Text"/>
    <w:basedOn w:val="a0"/>
    <w:uiPriority w:val="99"/>
    <w:semiHidden/>
    <w:qFormat/>
    <w:rsid w:val="00A165C1"/>
    <w:rPr>
      <w:color w:val="808080"/>
    </w:rPr>
  </w:style>
  <w:style w:type="character" w:customStyle="1" w:styleId="10">
    <w:name w:val="Заголовок 1 Знак"/>
    <w:basedOn w:val="a0"/>
    <w:link w:val="1"/>
    <w:qFormat/>
    <w:rsid w:val="00917C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Label1">
    <w:name w:val="ListLabel 1"/>
    <w:qFormat/>
    <w:rsid w:val="00F86676"/>
    <w:rPr>
      <w:b/>
    </w:rPr>
  </w:style>
  <w:style w:type="character" w:customStyle="1" w:styleId="ListLabel2">
    <w:name w:val="ListLabel 2"/>
    <w:qFormat/>
    <w:rsid w:val="00F86676"/>
    <w:rPr>
      <w:sz w:val="24"/>
      <w:szCs w:val="24"/>
    </w:rPr>
  </w:style>
  <w:style w:type="character" w:customStyle="1" w:styleId="ListLabel3">
    <w:name w:val="ListLabel 3"/>
    <w:qFormat/>
    <w:rsid w:val="00F86676"/>
    <w:rPr>
      <w:b w:val="0"/>
    </w:rPr>
  </w:style>
  <w:style w:type="character" w:customStyle="1" w:styleId="ListLabel4">
    <w:name w:val="ListLabel 4"/>
    <w:qFormat/>
    <w:rsid w:val="00F86676"/>
    <w:rPr>
      <w:rFonts w:cs="Courier New"/>
    </w:rPr>
  </w:style>
  <w:style w:type="character" w:customStyle="1" w:styleId="ListLabel5">
    <w:name w:val="ListLabel 5"/>
    <w:qFormat/>
    <w:rsid w:val="00F86676"/>
    <w:rPr>
      <w:sz w:val="20"/>
    </w:rPr>
  </w:style>
  <w:style w:type="character" w:customStyle="1" w:styleId="ListLabel6">
    <w:name w:val="ListLabel 6"/>
    <w:qFormat/>
    <w:rsid w:val="00F86676"/>
    <w:rPr>
      <w:rFonts w:eastAsia="Calibri" w:cs="Arial"/>
    </w:rPr>
  </w:style>
  <w:style w:type="character" w:customStyle="1" w:styleId="af0">
    <w:name w:val="Символ сноски"/>
    <w:qFormat/>
    <w:rsid w:val="00F86676"/>
  </w:style>
  <w:style w:type="paragraph" w:styleId="af1">
    <w:name w:val="Title"/>
    <w:basedOn w:val="a"/>
    <w:next w:val="af2"/>
    <w:qFormat/>
    <w:rsid w:val="00F86676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f2">
    <w:name w:val="Body Text"/>
    <w:basedOn w:val="a"/>
    <w:link w:val="11"/>
    <w:rsid w:val="000902D7"/>
    <w:pPr>
      <w:spacing w:line="360" w:lineRule="auto"/>
      <w:ind w:firstLine="720"/>
      <w:jc w:val="center"/>
    </w:pPr>
    <w:rPr>
      <w:rFonts w:ascii="Arial" w:hAnsi="Arial"/>
      <w:b/>
      <w:sz w:val="36"/>
      <w:szCs w:val="20"/>
      <w:lang w:eastAsia="ja-JP"/>
    </w:rPr>
  </w:style>
  <w:style w:type="paragraph" w:styleId="af3">
    <w:name w:val="List"/>
    <w:basedOn w:val="af2"/>
    <w:rsid w:val="00F86676"/>
    <w:rPr>
      <w:rFonts w:cs="Mangal"/>
    </w:rPr>
  </w:style>
  <w:style w:type="paragraph" w:customStyle="1" w:styleId="12">
    <w:name w:val="Название1"/>
    <w:basedOn w:val="a"/>
    <w:rsid w:val="00F86676"/>
    <w:pPr>
      <w:suppressLineNumbers/>
      <w:spacing w:before="120" w:after="120"/>
    </w:pPr>
    <w:rPr>
      <w:rFonts w:cs="Mangal"/>
      <w:i/>
      <w:iCs/>
    </w:rPr>
  </w:style>
  <w:style w:type="paragraph" w:styleId="af4">
    <w:name w:val="index heading"/>
    <w:basedOn w:val="a"/>
    <w:qFormat/>
    <w:rsid w:val="00F86676"/>
    <w:pPr>
      <w:suppressLineNumbers/>
    </w:pPr>
    <w:rPr>
      <w:rFonts w:cs="Mangal"/>
    </w:rPr>
  </w:style>
  <w:style w:type="paragraph" w:styleId="af5">
    <w:name w:val="footnote text"/>
    <w:basedOn w:val="a"/>
    <w:semiHidden/>
    <w:qFormat/>
    <w:rsid w:val="00BD768A"/>
    <w:rPr>
      <w:sz w:val="20"/>
      <w:szCs w:val="20"/>
    </w:rPr>
  </w:style>
  <w:style w:type="paragraph" w:styleId="af6">
    <w:name w:val="Document Map"/>
    <w:basedOn w:val="a"/>
    <w:semiHidden/>
    <w:qFormat/>
    <w:rsid w:val="008244B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0902D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7">
    <w:name w:val="header"/>
    <w:basedOn w:val="a"/>
    <w:rsid w:val="000902D7"/>
    <w:pPr>
      <w:widowControl w:val="0"/>
      <w:tabs>
        <w:tab w:val="center" w:pos="4677"/>
        <w:tab w:val="right" w:pos="9355"/>
      </w:tabs>
      <w:spacing w:line="360" w:lineRule="auto"/>
      <w:ind w:firstLine="720"/>
      <w:jc w:val="both"/>
    </w:pPr>
    <w:rPr>
      <w:rFonts w:ascii="Arial" w:hAnsi="Arial" w:cs="Arial"/>
      <w:sz w:val="20"/>
      <w:szCs w:val="20"/>
      <w:lang w:eastAsia="en-US"/>
    </w:rPr>
  </w:style>
  <w:style w:type="paragraph" w:styleId="af8">
    <w:name w:val="Plain Text"/>
    <w:basedOn w:val="a"/>
    <w:qFormat/>
    <w:rsid w:val="000902D7"/>
    <w:pPr>
      <w:spacing w:line="360" w:lineRule="auto"/>
      <w:ind w:firstLine="720"/>
      <w:jc w:val="both"/>
    </w:pPr>
    <w:rPr>
      <w:rFonts w:ascii="Courier New" w:hAnsi="Courier New"/>
      <w:sz w:val="20"/>
      <w:szCs w:val="20"/>
      <w:lang w:eastAsia="ja-JP"/>
    </w:rPr>
  </w:style>
  <w:style w:type="paragraph" w:customStyle="1" w:styleId="FR1">
    <w:name w:val="FR1"/>
    <w:qFormat/>
    <w:rsid w:val="000902D7"/>
    <w:pPr>
      <w:widowControl w:val="0"/>
      <w:suppressAutoHyphens/>
      <w:spacing w:line="300" w:lineRule="auto"/>
      <w:ind w:left="2280" w:right="2200" w:firstLine="720"/>
      <w:jc w:val="center"/>
    </w:pPr>
    <w:rPr>
      <w:sz w:val="28"/>
    </w:rPr>
  </w:style>
  <w:style w:type="paragraph" w:customStyle="1" w:styleId="af9">
    <w:name w:val="Простой заголовок"/>
    <w:basedOn w:val="a"/>
    <w:qFormat/>
    <w:rsid w:val="004B1258"/>
    <w:pPr>
      <w:keepNext/>
      <w:widowControl w:val="0"/>
      <w:spacing w:before="240" w:after="240" w:line="360" w:lineRule="auto"/>
      <w:ind w:firstLine="720"/>
    </w:pPr>
    <w:rPr>
      <w:rFonts w:ascii="Arial" w:hAnsi="Arial"/>
      <w:b/>
      <w:color w:val="000000"/>
      <w:sz w:val="28"/>
      <w:szCs w:val="20"/>
    </w:rPr>
  </w:style>
  <w:style w:type="paragraph" w:styleId="afa">
    <w:name w:val="footer"/>
    <w:basedOn w:val="a"/>
    <w:uiPriority w:val="99"/>
    <w:rsid w:val="00922759"/>
    <w:pPr>
      <w:tabs>
        <w:tab w:val="center" w:pos="4677"/>
        <w:tab w:val="right" w:pos="9355"/>
      </w:tabs>
    </w:pPr>
  </w:style>
  <w:style w:type="paragraph" w:customStyle="1" w:styleId="afb">
    <w:name w:val="гост_набор"/>
    <w:basedOn w:val="a"/>
    <w:qFormat/>
    <w:rsid w:val="001957D2"/>
    <w:pPr>
      <w:spacing w:after="200" w:line="360" w:lineRule="auto"/>
      <w:ind w:firstLine="709"/>
      <w:jc w:val="both"/>
    </w:pPr>
    <w:rPr>
      <w:rFonts w:ascii="Arial" w:hAnsi="Arial" w:cs="Arial"/>
      <w:szCs w:val="20"/>
    </w:rPr>
  </w:style>
  <w:style w:type="paragraph" w:styleId="afc">
    <w:name w:val="Balloon Text"/>
    <w:basedOn w:val="a"/>
    <w:uiPriority w:val="99"/>
    <w:qFormat/>
    <w:rsid w:val="00856E87"/>
    <w:rPr>
      <w:rFonts w:ascii="Tahoma" w:hAnsi="Tahoma" w:cs="Tahoma"/>
      <w:sz w:val="16"/>
      <w:szCs w:val="16"/>
    </w:rPr>
  </w:style>
  <w:style w:type="paragraph" w:customStyle="1" w:styleId="src">
    <w:name w:val="src"/>
    <w:basedOn w:val="a"/>
    <w:qFormat/>
    <w:rsid w:val="00216C57"/>
    <w:pPr>
      <w:spacing w:beforeAutospacing="1" w:afterAutospacing="1"/>
    </w:pPr>
  </w:style>
  <w:style w:type="paragraph" w:styleId="afd">
    <w:name w:val="Normal (Web)"/>
    <w:basedOn w:val="a"/>
    <w:uiPriority w:val="99"/>
    <w:unhideWhenUsed/>
    <w:qFormat/>
    <w:rsid w:val="00FD2190"/>
    <w:pPr>
      <w:spacing w:beforeAutospacing="1" w:afterAutospacing="1"/>
    </w:pPr>
  </w:style>
  <w:style w:type="paragraph" w:styleId="afe">
    <w:name w:val="endnote text"/>
    <w:basedOn w:val="a"/>
    <w:qFormat/>
    <w:rsid w:val="002B1917"/>
    <w:rPr>
      <w:sz w:val="20"/>
      <w:szCs w:val="20"/>
    </w:rPr>
  </w:style>
  <w:style w:type="paragraph" w:styleId="aff">
    <w:name w:val="List Paragraph"/>
    <w:basedOn w:val="a"/>
    <w:uiPriority w:val="34"/>
    <w:qFormat/>
    <w:rsid w:val="002858BE"/>
    <w:pPr>
      <w:ind w:left="720"/>
      <w:contextualSpacing/>
    </w:pPr>
  </w:style>
  <w:style w:type="paragraph" w:customStyle="1" w:styleId="FORMATTEXT">
    <w:name w:val=".FORMATTEXT"/>
    <w:uiPriority w:val="99"/>
    <w:qFormat/>
    <w:rsid w:val="000455B6"/>
    <w:pPr>
      <w:widowControl w:val="0"/>
      <w:suppressAutoHyphens/>
    </w:pPr>
    <w:rPr>
      <w:rFonts w:ascii="Arial" w:hAnsi="Arial" w:cs="Arial"/>
      <w:sz w:val="24"/>
    </w:rPr>
  </w:style>
  <w:style w:type="table" w:styleId="aff0">
    <w:name w:val="Table Grid"/>
    <w:basedOn w:val="a1"/>
    <w:rsid w:val="001A7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CB6B9E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uiPriority w:val="59"/>
    <w:rsid w:val="00BD6405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FB7E98"/>
  </w:style>
  <w:style w:type="table" w:customStyle="1" w:styleId="31">
    <w:name w:val="Сетка таблицы3"/>
    <w:basedOn w:val="a1"/>
    <w:next w:val="aff0"/>
    <w:uiPriority w:val="59"/>
    <w:rsid w:val="00FB7E9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Hyperlink"/>
    <w:basedOn w:val="a0"/>
    <w:uiPriority w:val="99"/>
    <w:unhideWhenUsed/>
    <w:rsid w:val="00FB7E98"/>
    <w:rPr>
      <w:color w:val="0000FF" w:themeColor="hyperlink"/>
      <w:u w:val="single"/>
    </w:rPr>
  </w:style>
  <w:style w:type="character" w:styleId="aff2">
    <w:name w:val="annotation reference"/>
    <w:basedOn w:val="a0"/>
    <w:semiHidden/>
    <w:unhideWhenUsed/>
    <w:rsid w:val="00C8471F"/>
    <w:rPr>
      <w:sz w:val="16"/>
      <w:szCs w:val="16"/>
    </w:rPr>
  </w:style>
  <w:style w:type="paragraph" w:styleId="aff3">
    <w:name w:val="annotation text"/>
    <w:basedOn w:val="a"/>
    <w:link w:val="aff4"/>
    <w:semiHidden/>
    <w:unhideWhenUsed/>
    <w:rsid w:val="00C8471F"/>
    <w:rPr>
      <w:sz w:val="20"/>
      <w:szCs w:val="20"/>
    </w:rPr>
  </w:style>
  <w:style w:type="character" w:customStyle="1" w:styleId="aff4">
    <w:name w:val="Текст примечания Знак"/>
    <w:basedOn w:val="a0"/>
    <w:link w:val="aff3"/>
    <w:semiHidden/>
    <w:rsid w:val="00C8471F"/>
  </w:style>
  <w:style w:type="paragraph" w:styleId="aff5">
    <w:name w:val="annotation subject"/>
    <w:basedOn w:val="aff3"/>
    <w:next w:val="aff3"/>
    <w:link w:val="aff6"/>
    <w:semiHidden/>
    <w:unhideWhenUsed/>
    <w:rsid w:val="00C8471F"/>
    <w:rPr>
      <w:b/>
      <w:bCs/>
    </w:rPr>
  </w:style>
  <w:style w:type="character" w:customStyle="1" w:styleId="aff6">
    <w:name w:val="Тема примечания Знак"/>
    <w:basedOn w:val="aff4"/>
    <w:link w:val="aff5"/>
    <w:semiHidden/>
    <w:rsid w:val="00C8471F"/>
    <w:rPr>
      <w:b/>
      <w:bCs/>
    </w:rPr>
  </w:style>
  <w:style w:type="paragraph" w:styleId="aff7">
    <w:name w:val="TOC Heading"/>
    <w:basedOn w:val="1"/>
    <w:next w:val="a"/>
    <w:uiPriority w:val="39"/>
    <w:unhideWhenUsed/>
    <w:qFormat/>
    <w:rsid w:val="00AE39FF"/>
    <w:pPr>
      <w:suppressAutoHyphens w:val="0"/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15">
    <w:name w:val="toc 1"/>
    <w:basedOn w:val="a"/>
    <w:next w:val="a"/>
    <w:autoRedefine/>
    <w:uiPriority w:val="39"/>
    <w:unhideWhenUsed/>
    <w:rsid w:val="00C04E3F"/>
    <w:pPr>
      <w:spacing w:before="240" w:after="240"/>
    </w:pPr>
    <w:rPr>
      <w:rFonts w:ascii="Arial" w:hAnsi="Arial" w:cs="Arial"/>
      <w:b/>
      <w:sz w:val="28"/>
      <w:szCs w:val="28"/>
    </w:rPr>
  </w:style>
  <w:style w:type="paragraph" w:styleId="aff8">
    <w:name w:val="Subtitle"/>
    <w:basedOn w:val="a"/>
    <w:next w:val="a"/>
    <w:link w:val="aff9"/>
    <w:qFormat/>
    <w:rsid w:val="00AE39F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9">
    <w:name w:val="Подзаголовок Знак"/>
    <w:basedOn w:val="a0"/>
    <w:link w:val="aff8"/>
    <w:rsid w:val="00AE39F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20">
    <w:name w:val="Заголовок 2 Знак"/>
    <w:basedOn w:val="a0"/>
    <w:link w:val="2"/>
    <w:rsid w:val="00701A9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rsid w:val="00701A9F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styleId="22">
    <w:name w:val="toc 2"/>
    <w:basedOn w:val="a"/>
    <w:next w:val="a"/>
    <w:autoRedefine/>
    <w:uiPriority w:val="39"/>
    <w:unhideWhenUsed/>
    <w:rsid w:val="009C2089"/>
    <w:pPr>
      <w:suppressAutoHyphens w:val="0"/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32">
    <w:name w:val="toc 3"/>
    <w:basedOn w:val="a"/>
    <w:next w:val="a"/>
    <w:autoRedefine/>
    <w:uiPriority w:val="39"/>
    <w:unhideWhenUsed/>
    <w:rsid w:val="009C2089"/>
    <w:pPr>
      <w:suppressAutoHyphens w:val="0"/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table" w:customStyle="1" w:styleId="41">
    <w:name w:val="Сетка таблицы4"/>
    <w:basedOn w:val="a1"/>
    <w:next w:val="aff0"/>
    <w:uiPriority w:val="59"/>
    <w:rsid w:val="009C208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 Знак1"/>
    <w:basedOn w:val="a0"/>
    <w:link w:val="af2"/>
    <w:rsid w:val="007419BC"/>
    <w:rPr>
      <w:rFonts w:ascii="Arial" w:hAnsi="Arial"/>
      <w:b/>
      <w:sz w:val="36"/>
      <w:lang w:eastAsia="ja-JP"/>
    </w:rPr>
  </w:style>
  <w:style w:type="character" w:customStyle="1" w:styleId="60">
    <w:name w:val="Заголовок 6 Знак"/>
    <w:basedOn w:val="a0"/>
    <w:link w:val="6"/>
    <w:semiHidden/>
    <w:rsid w:val="000C018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802277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customStyle="1" w:styleId="ForewordText">
    <w:name w:val="Foreword Text"/>
    <w:basedOn w:val="a"/>
    <w:rsid w:val="002510CF"/>
    <w:pPr>
      <w:suppressAutoHyphens w:val="0"/>
      <w:spacing w:after="240" w:line="240" w:lineRule="atLeast"/>
      <w:jc w:val="both"/>
    </w:pPr>
    <w:rPr>
      <w:rFonts w:ascii="Arial" w:eastAsia="MS Mincho" w:hAnsi="Arial"/>
      <w:sz w:val="20"/>
      <w:szCs w:val="20"/>
      <w:lang w:val="en-GB" w:eastAsia="ja-JP"/>
    </w:rPr>
  </w:style>
  <w:style w:type="character" w:customStyle="1" w:styleId="tlid-translation">
    <w:name w:val="tlid-translation"/>
    <w:rsid w:val="005F7F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5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t.ru/" TargetMode="External"/><Relationship Id="rId18" Type="http://schemas.openxmlformats.org/officeDocument/2006/relationships/hyperlink" Target="http://whobluebooks.iarc.fr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iso.org/patents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so.org/directives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oleObject" Target="embeddings/Microsoft_Word_97_-_2003_Document1.doc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6442F-C1A9-4A71-8CB1-DDD023556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36</Pages>
  <Words>8372</Words>
  <Characters>47725</Characters>
  <Application>Microsoft Office Word</Application>
  <DocSecurity>0</DocSecurity>
  <Lines>397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nickd</Company>
  <LinksUpToDate>false</LinksUpToDate>
  <CharactersWithSpaces>55986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Мария А. Емельянова</cp:lastModifiedBy>
  <cp:revision>31</cp:revision>
  <cp:lastPrinted>2020-05-13T12:28:00Z</cp:lastPrinted>
  <dcterms:created xsi:type="dcterms:W3CDTF">2020-05-14T16:32:00Z</dcterms:created>
  <dcterms:modified xsi:type="dcterms:W3CDTF">2020-06-01T13:59:00Z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nickd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